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58AF65" w14:textId="3AA2B3D3" w:rsidR="00ED13EA" w:rsidRDefault="00467812" w:rsidP="00ED13EA">
      <w:bookmarkStart w:id="0" w:name="_GoBack"/>
      <w:bookmarkEnd w:id="0"/>
      <w:r>
        <w:rPr>
          <w:noProof/>
          <w:lang w:val="en-US"/>
        </w:rPr>
        <w:drawing>
          <wp:anchor distT="0" distB="0" distL="114300" distR="114300" simplePos="0" relativeHeight="251659776" behindDoc="1" locked="0" layoutInCell="0" allowOverlap="1" wp14:anchorId="000E3E02" wp14:editId="2F751B3D">
            <wp:simplePos x="0" y="0"/>
            <wp:positionH relativeFrom="page">
              <wp:posOffset>0</wp:posOffset>
            </wp:positionH>
            <wp:positionV relativeFrom="page">
              <wp:posOffset>0</wp:posOffset>
            </wp:positionV>
            <wp:extent cx="7772400" cy="1605915"/>
            <wp:effectExtent l="0" t="0" r="0" b="0"/>
            <wp:wrapNone/>
            <wp:docPr id="140" name="Picture 140" descr="Application_Innovation_Partner_Customer_Solution_Case_Study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pplication_Innovation_Partner_Customer_Solution_Case_Study_v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2400" cy="1605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7728" behindDoc="0" locked="0" layoutInCell="1" allowOverlap="1" wp14:anchorId="4A65BB97" wp14:editId="1A57CFEC">
                <wp:simplePos x="0" y="0"/>
                <wp:positionH relativeFrom="page">
                  <wp:posOffset>2714625</wp:posOffset>
                </wp:positionH>
                <wp:positionV relativeFrom="page">
                  <wp:posOffset>2854325</wp:posOffset>
                </wp:positionV>
                <wp:extent cx="0" cy="5868035"/>
                <wp:effectExtent l="0" t="0" r="0" b="0"/>
                <wp:wrapNone/>
                <wp:docPr id="7"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868035"/>
                        </a:xfrm>
                        <a:prstGeom prst="line">
                          <a:avLst/>
                        </a:prstGeom>
                        <a:noFill/>
                        <a:ln w="9525">
                          <a:solidFill>
                            <a:srgbClr val="A0A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91B69" id="ThinGreenLine" o:spid="_x0000_s1026" style="position:absolute;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75pt,224.75pt" to="213.75pt,6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" strokecolor="#a0a0a0">
                <w10:wrap anchorx="page" anchory="page"/>
              </v:line>
            </w:pict>
          </mc:Fallback>
        </mc:AlternateContent>
      </w:r>
      <w:r>
        <w:rPr>
          <w:noProof/>
          <w:lang w:val="en-US"/>
        </w:rPr>
        <mc:AlternateContent>
          <mc:Choice Requires="wps">
            <w:drawing>
              <wp:anchor distT="0" distB="0" distL="114300" distR="114300" simplePos="0" relativeHeight="251656704" behindDoc="0" locked="1" layoutInCell="1" allowOverlap="1" wp14:anchorId="44EB2A3B" wp14:editId="3A2A9112">
                <wp:simplePos x="0" y="0"/>
                <wp:positionH relativeFrom="page">
                  <wp:posOffset>540385</wp:posOffset>
                </wp:positionH>
                <wp:positionV relativeFrom="page">
                  <wp:posOffset>8252460</wp:posOffset>
                </wp:positionV>
                <wp:extent cx="2016125" cy="468630"/>
                <wp:effectExtent l="0" t="0" r="0" b="0"/>
                <wp:wrapNone/>
                <wp:docPr id="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A6EFE" w14:textId="77777777" w:rsidR="001C1054" w:rsidRDefault="001C1054" w:rsidP="004D0A95">
                            <w:pPr>
                              <w:pStyle w:val="Bodycopy"/>
                            </w:pPr>
                            <w:r w:rsidRPr="00964ABE">
                              <w:t>For more information about other Microsoft customer successes, please visit:</w:t>
                            </w:r>
                          </w:p>
                          <w:p w14:paraId="4A3FE165" w14:textId="77777777" w:rsidR="001C1054" w:rsidRDefault="00A432BA" w:rsidP="004D0A95">
                            <w:pPr>
                              <w:pStyle w:val="Bodycopy"/>
                            </w:pPr>
                            <w:hyperlink r:id="rId11" w:history="1">
                              <w:r w:rsidR="001C1054">
                                <w:rPr>
                                  <w:rStyle w:val="Hyperlink"/>
                                </w:rPr>
                                <w:t>www.microsoft.com/casestudies</w:t>
                              </w:r>
                            </w:hyperlink>
                          </w:p>
                          <w:p w14:paraId="6F5879E3" w14:textId="77777777" w:rsidR="001C1054" w:rsidRDefault="001C1054" w:rsidP="004D0A95">
                            <w:pPr>
                              <w:pStyle w:val="Bodycopy"/>
                            </w:pPr>
                          </w:p>
                          <w:p w14:paraId="079AC1DE" w14:textId="77777777" w:rsidR="001C1054" w:rsidRDefault="001C1054" w:rsidP="00385DB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B2A3B" id="_x0000_t202" coordsize="21600,21600" o:spt="202" path="m,l,21600r21600,l21600,xe">
                <v:stroke joinstyle="miter"/>
                <v:path gradientshapeok="t" o:connecttype="rect"/>
              </v:shapetype>
              <v:shape id="Text Box 137" o:spid="_x0000_s1026" type="#_x0000_t202" style="position:absolute;margin-left:42.55pt;margin-top:649.8pt;width:158.75pt;height:36.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" stroked="f">
                <v:textbox inset="0,0,0,0">
                  <w:txbxContent>
                    <w:p w14:paraId="432A6EFE" w14:textId="77777777" w:rsidR="001C1054" w:rsidRDefault="001C1054" w:rsidP="004D0A95">
                      <w:pPr>
                        <w:pStyle w:val="Bodycopy"/>
                      </w:pPr>
                      <w:r w:rsidRPr="00964ABE">
                        <w:t>For more information about other Microsoft customer successes, please visit:</w:t>
                      </w:r>
                    </w:p>
                    <w:p w14:paraId="4A3FE165" w14:textId="77777777" w:rsidR="001C1054" w:rsidRDefault="00CB52BD" w:rsidP="004D0A95">
                      <w:pPr>
                        <w:pStyle w:val="Bodycopy"/>
                      </w:pPr>
                      <w:hyperlink r:id="rId12" w:history="1">
                        <w:r w:rsidR="001C1054">
                          <w:rPr>
                            <w:rStyle w:val="Hyperlink"/>
                          </w:rPr>
                          <w:t>www.microsoft.com/casestudies</w:t>
                        </w:r>
                      </w:hyperlink>
                    </w:p>
                    <w:p w14:paraId="6F5879E3" w14:textId="77777777" w:rsidR="001C1054" w:rsidRDefault="001C1054" w:rsidP="004D0A95">
                      <w:pPr>
                        <w:pStyle w:val="Bodycopy"/>
                      </w:pPr>
                    </w:p>
                    <w:p w14:paraId="079AC1DE" w14:textId="77777777" w:rsidR="001C1054" w:rsidRDefault="001C1054" w:rsidP="00385DBE"/>
                  </w:txbxContent>
                </v:textbox>
                <w10:wrap anchorx="page" anchory="page"/>
                <w10:anchorlock/>
              </v:shape>
            </w:pict>
          </mc:Fallback>
        </mc:AlternateContent>
      </w:r>
      <w:r>
        <w:rPr>
          <w:noProof/>
          <w:lang w:val="en-US"/>
        </w:rPr>
        <mc:AlternateContent>
          <mc:Choice Requires="wps">
            <w:drawing>
              <wp:anchor distT="0" distB="0" distL="114300" distR="114300" simplePos="0" relativeHeight="251655680" behindDoc="0" locked="1" layoutInCell="1" allowOverlap="1" wp14:anchorId="6620B8B5" wp14:editId="31916AD1">
                <wp:simplePos x="0" y="0"/>
                <wp:positionH relativeFrom="page">
                  <wp:posOffset>540385</wp:posOffset>
                </wp:positionH>
                <wp:positionV relativeFrom="page">
                  <wp:posOffset>3040380</wp:posOffset>
                </wp:positionV>
                <wp:extent cx="1979930" cy="5139690"/>
                <wp:effectExtent l="0" t="0" r="0" b="0"/>
                <wp:wrapNone/>
                <wp:docPr id="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5139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BF149" w14:textId="77777777" w:rsidR="001C1054" w:rsidRDefault="001C1054" w:rsidP="008C0428">
                            <w:pPr>
                              <w:pStyle w:val="Bodycopy"/>
                            </w:pPr>
                            <w:r>
                              <w:rPr>
                                <w:b/>
                              </w:rPr>
                              <w:t>Customer:</w:t>
                            </w:r>
                            <w:r>
                              <w:t xml:space="preserve"> </w:t>
                            </w:r>
                            <w:r w:rsidR="007E1044">
                              <w:t>Temenos</w:t>
                            </w:r>
                          </w:p>
                          <w:p w14:paraId="62C26633" w14:textId="3783F493" w:rsidR="001C1054" w:rsidRDefault="001C1054" w:rsidP="008C0428">
                            <w:pPr>
                              <w:pStyle w:val="Bodycopy"/>
                            </w:pPr>
                            <w:r>
                              <w:rPr>
                                <w:b/>
                              </w:rPr>
                              <w:t>Website:</w:t>
                            </w:r>
                            <w:r w:rsidRPr="007B198F">
                              <w:t xml:space="preserve"> </w:t>
                            </w:r>
                            <w:hyperlink r:id="rId13" w:history="1">
                              <w:r w:rsidR="004D37EB" w:rsidRPr="00FD28B7">
                                <w:rPr>
                                  <w:rStyle w:val="Hyperlink"/>
                                </w:rPr>
                                <w:t>www.temenos.com</w:t>
                              </w:r>
                            </w:hyperlink>
                          </w:p>
                          <w:p w14:paraId="7A507011" w14:textId="77777777" w:rsidR="001C1054" w:rsidRDefault="001C1054" w:rsidP="008C0428">
                            <w:pPr>
                              <w:pStyle w:val="Bodycopy"/>
                            </w:pPr>
                            <w:r>
                              <w:rPr>
                                <w:b/>
                              </w:rPr>
                              <w:t>Customer Size:</w:t>
                            </w:r>
                            <w:r w:rsidRPr="007B198F">
                              <w:t xml:space="preserve"> </w:t>
                            </w:r>
                            <w:r w:rsidR="004D37EB">
                              <w:t>4,4</w:t>
                            </w:r>
                            <w:r w:rsidR="007E1044">
                              <w:t>00 employees</w:t>
                            </w:r>
                          </w:p>
                          <w:p w14:paraId="0D8B3492" w14:textId="3C304250" w:rsidR="001C1054" w:rsidRDefault="001C1054" w:rsidP="008C0428">
                            <w:pPr>
                              <w:pStyle w:val="Bodycopy"/>
                            </w:pPr>
                            <w:r>
                              <w:rPr>
                                <w:b/>
                              </w:rPr>
                              <w:t>Country or Region:</w:t>
                            </w:r>
                            <w:r>
                              <w:t xml:space="preserve"> </w:t>
                            </w:r>
                            <w:r w:rsidR="002C498E">
                              <w:t>Gl</w:t>
                            </w:r>
                            <w:r w:rsidR="00E90F80">
                              <w:t>obal</w:t>
                            </w:r>
                          </w:p>
                          <w:p w14:paraId="6B5A09FA" w14:textId="45DA8C09" w:rsidR="001C1054" w:rsidRDefault="001C1054" w:rsidP="008C0428">
                            <w:pPr>
                              <w:pStyle w:val="Bodycopy"/>
                            </w:pPr>
                            <w:r>
                              <w:rPr>
                                <w:b/>
                              </w:rPr>
                              <w:t>Industry:</w:t>
                            </w:r>
                            <w:r>
                              <w:t xml:space="preserve"> </w:t>
                            </w:r>
                            <w:r w:rsidR="007E1044">
                              <w:t xml:space="preserve">Financial </w:t>
                            </w:r>
                            <w:r w:rsidR="00FD28B7">
                              <w:t>s</w:t>
                            </w:r>
                            <w:r w:rsidR="007E1044">
                              <w:t>ervices</w:t>
                            </w:r>
                          </w:p>
                          <w:p w14:paraId="510C74DA" w14:textId="77777777" w:rsidR="001C1054" w:rsidRDefault="001C1054" w:rsidP="008C0428">
                            <w:pPr>
                              <w:pStyle w:val="Bodycopy"/>
                            </w:pPr>
                          </w:p>
                          <w:p w14:paraId="3CD53504" w14:textId="77777777" w:rsidR="001C1054" w:rsidRDefault="001C1054" w:rsidP="008C0428">
                            <w:pPr>
                              <w:pStyle w:val="Bodycopyheading"/>
                            </w:pPr>
                            <w:r>
                              <w:t>Customer Profile</w:t>
                            </w:r>
                          </w:p>
                          <w:p w14:paraId="30A1E09E" w14:textId="6C3B073D" w:rsidR="004D37EB" w:rsidRDefault="004D37EB" w:rsidP="004D37EB">
                            <w:pPr>
                              <w:pStyle w:val="Bodycopy"/>
                            </w:pPr>
                            <w:r>
                              <w:t>Temenos,</w:t>
                            </w:r>
                            <w:r w:rsidR="0051133E">
                              <w:t xml:space="preserve"> headquartered </w:t>
                            </w:r>
                            <w:r>
                              <w:t xml:space="preserve">in Geneva, Switzerland, is an independent software vendor that offers a range of banking software solutions to financial institutions throughout the world. Every day, 450 million people use the company’s software. </w:t>
                            </w:r>
                          </w:p>
                          <w:p w14:paraId="09665977" w14:textId="77777777" w:rsidR="001C1054" w:rsidRDefault="001C1054" w:rsidP="00964ABE">
                            <w:pPr>
                              <w:pStyle w:val="Bullet"/>
                              <w:numPr>
                                <w:ilvl w:val="0"/>
                                <w:numId w:val="0"/>
                              </w:numPr>
                            </w:pPr>
                          </w:p>
                          <w:p w14:paraId="4E7BC191" w14:textId="77777777" w:rsidR="007E1044" w:rsidRDefault="007E1044" w:rsidP="007E1044">
                            <w:pPr>
                              <w:pStyle w:val="Bodycopyheading"/>
                            </w:pPr>
                            <w:r>
                              <w:t>Software and Services</w:t>
                            </w:r>
                          </w:p>
                          <w:p w14:paraId="743E9083" w14:textId="77777777" w:rsidR="004D37EB" w:rsidRDefault="004D37EB" w:rsidP="004D37EB">
                            <w:pPr>
                              <w:pStyle w:val="Bullet"/>
                              <w:numPr>
                                <w:ilvl w:val="0"/>
                                <w:numId w:val="7"/>
                              </w:numPr>
                            </w:pPr>
                            <w:r>
                              <w:t>Microsoft Azure platform</w:t>
                            </w:r>
                          </w:p>
                          <w:p w14:paraId="4FEA1EBB" w14:textId="29DB94AE" w:rsidR="004D37EB" w:rsidRDefault="004D37EB" w:rsidP="004D37EB">
                            <w:pPr>
                              <w:pStyle w:val="BulletLevel2"/>
                              <w:numPr>
                                <w:ilvl w:val="0"/>
                                <w:numId w:val="5"/>
                              </w:numPr>
                            </w:pPr>
                            <w:r>
                              <w:t>Microsoft Azure</w:t>
                            </w:r>
                            <w:r w:rsidR="00B55328">
                              <w:t xml:space="preserve"> Cloud Services</w:t>
                            </w:r>
                          </w:p>
                          <w:p w14:paraId="67325C5A" w14:textId="77777777" w:rsidR="004D37EB" w:rsidRDefault="004D37EB" w:rsidP="004D37EB">
                            <w:pPr>
                              <w:pStyle w:val="BulletLevel2"/>
                              <w:numPr>
                                <w:ilvl w:val="0"/>
                                <w:numId w:val="5"/>
                              </w:numPr>
                            </w:pPr>
                            <w:r>
                              <w:t>Microsoft Azure SQL Database</w:t>
                            </w:r>
                          </w:p>
                          <w:p w14:paraId="5EB4053A" w14:textId="77777777" w:rsidR="004D37EB" w:rsidRDefault="004D37EB" w:rsidP="004D37EB">
                            <w:pPr>
                              <w:pStyle w:val="BulletLevel2"/>
                              <w:numPr>
                                <w:ilvl w:val="0"/>
                                <w:numId w:val="5"/>
                              </w:numPr>
                            </w:pPr>
                            <w:r>
                              <w:t>Microsoft Azure Virtual Network</w:t>
                            </w:r>
                          </w:p>
                          <w:p w14:paraId="24243B81" w14:textId="77777777" w:rsidR="004D37EB" w:rsidRPr="004D37EB" w:rsidRDefault="004D37EB" w:rsidP="004D37EB">
                            <w:pPr>
                              <w:pStyle w:val="Bodycop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20B8B5" id="_x0000_t202" coordsize="21600,21600" o:spt="202" path="m,l,21600r21600,l21600,xe">
                <v:stroke joinstyle="miter"/>
                <v:path gradientshapeok="t" o:connecttype="rect"/>
              </v:shapetype>
              <v:shape id="Text Box 133" o:spid="_x0000_s1027" type="#_x0000_t202" style="position:absolute;margin-left:42.55pt;margin-top:239.4pt;width:155.9pt;height:404.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" stroked="f">
                <v:textbox inset="0,0,0,0">
                  <w:txbxContent>
                    <w:p w14:paraId="61DBF149" w14:textId="77777777" w:rsidR="001C1054" w:rsidRDefault="001C1054" w:rsidP="008C0428">
                      <w:pPr>
                        <w:pStyle w:val="Bodycopy"/>
                      </w:pPr>
                      <w:r>
                        <w:rPr>
                          <w:b/>
                        </w:rPr>
                        <w:t>Customer:</w:t>
                      </w:r>
                      <w:r>
                        <w:t xml:space="preserve"> </w:t>
                      </w:r>
                      <w:r w:rsidR="007E1044">
                        <w:t>Temenos</w:t>
                      </w:r>
                    </w:p>
                    <w:p w14:paraId="62C26633" w14:textId="3783F493" w:rsidR="001C1054" w:rsidRDefault="001C1054" w:rsidP="008C0428">
                      <w:pPr>
                        <w:pStyle w:val="Bodycopy"/>
                      </w:pPr>
                      <w:r>
                        <w:rPr>
                          <w:b/>
                        </w:rPr>
                        <w:t>Website:</w:t>
                      </w:r>
                      <w:r w:rsidRPr="007B198F">
                        <w:t xml:space="preserve"> </w:t>
                      </w:r>
                      <w:hyperlink r:id="rId14" w:history="1">
                        <w:r w:rsidR="004D37EB" w:rsidRPr="00FD28B7">
                          <w:rPr>
                            <w:rStyle w:val="Hyperlink"/>
                          </w:rPr>
                          <w:t>www.temenos.com</w:t>
                        </w:r>
                      </w:hyperlink>
                    </w:p>
                    <w:p w14:paraId="7A507011" w14:textId="77777777" w:rsidR="001C1054" w:rsidRDefault="001C1054" w:rsidP="008C0428">
                      <w:pPr>
                        <w:pStyle w:val="Bodycopy"/>
                      </w:pPr>
                      <w:r>
                        <w:rPr>
                          <w:b/>
                        </w:rPr>
                        <w:t>Customer Size:</w:t>
                      </w:r>
                      <w:r w:rsidRPr="007B198F">
                        <w:t xml:space="preserve"> </w:t>
                      </w:r>
                      <w:r w:rsidR="004D37EB">
                        <w:t>4,4</w:t>
                      </w:r>
                      <w:r w:rsidR="007E1044">
                        <w:t>00 employees</w:t>
                      </w:r>
                    </w:p>
                    <w:p w14:paraId="0D8B3492" w14:textId="3C304250" w:rsidR="001C1054" w:rsidRDefault="001C1054" w:rsidP="008C0428">
                      <w:pPr>
                        <w:pStyle w:val="Bodycopy"/>
                      </w:pPr>
                      <w:r>
                        <w:rPr>
                          <w:b/>
                        </w:rPr>
                        <w:t>Country or Region:</w:t>
                      </w:r>
                      <w:r>
                        <w:t xml:space="preserve"> </w:t>
                      </w:r>
                      <w:r w:rsidR="002C498E">
                        <w:t>Gl</w:t>
                      </w:r>
                      <w:r w:rsidR="00E90F80">
                        <w:t>obal</w:t>
                      </w:r>
                    </w:p>
                    <w:p w14:paraId="6B5A09FA" w14:textId="45DA8C09" w:rsidR="001C1054" w:rsidRDefault="001C1054" w:rsidP="008C0428">
                      <w:pPr>
                        <w:pStyle w:val="Bodycopy"/>
                      </w:pPr>
                      <w:r>
                        <w:rPr>
                          <w:b/>
                        </w:rPr>
                        <w:t>Industry:</w:t>
                      </w:r>
                      <w:r>
                        <w:t xml:space="preserve"> </w:t>
                      </w:r>
                      <w:r w:rsidR="007E1044">
                        <w:t xml:space="preserve">Financial </w:t>
                      </w:r>
                      <w:r w:rsidR="00FD28B7">
                        <w:t>s</w:t>
                      </w:r>
                      <w:r w:rsidR="007E1044">
                        <w:t>ervices</w:t>
                      </w:r>
                    </w:p>
                    <w:p w14:paraId="510C74DA" w14:textId="77777777" w:rsidR="001C1054" w:rsidRDefault="001C1054" w:rsidP="008C0428">
                      <w:pPr>
                        <w:pStyle w:val="Bodycopy"/>
                      </w:pPr>
                    </w:p>
                    <w:p w14:paraId="3CD53504" w14:textId="77777777" w:rsidR="001C1054" w:rsidRDefault="001C1054" w:rsidP="008C0428">
                      <w:pPr>
                        <w:pStyle w:val="Bodycopyheading"/>
                      </w:pPr>
                      <w:r>
                        <w:t>Customer Profile</w:t>
                      </w:r>
                    </w:p>
                    <w:p w14:paraId="30A1E09E" w14:textId="6C3B073D" w:rsidR="004D37EB" w:rsidRDefault="004D37EB" w:rsidP="004D37EB">
                      <w:pPr>
                        <w:pStyle w:val="Bodycopy"/>
                      </w:pPr>
                      <w:r>
                        <w:t>Temenos,</w:t>
                      </w:r>
                      <w:r w:rsidR="0051133E">
                        <w:t xml:space="preserve"> headquartered </w:t>
                      </w:r>
                      <w:r>
                        <w:t xml:space="preserve">in Geneva, Switzerland, is an independent software vendor that offers a range of banking software solutions to financial institutions throughout the world. Every day, 450 million people use the company’s software. </w:t>
                      </w:r>
                    </w:p>
                    <w:p w14:paraId="09665977" w14:textId="77777777" w:rsidR="001C1054" w:rsidRDefault="001C1054" w:rsidP="00964ABE">
                      <w:pPr>
                        <w:pStyle w:val="Bullet"/>
                        <w:numPr>
                          <w:ilvl w:val="0"/>
                          <w:numId w:val="0"/>
                        </w:numPr>
                      </w:pPr>
                    </w:p>
                    <w:p w14:paraId="4E7BC191" w14:textId="77777777" w:rsidR="007E1044" w:rsidRDefault="007E1044" w:rsidP="007E1044">
                      <w:pPr>
                        <w:pStyle w:val="Bodycopyheading"/>
                      </w:pPr>
                      <w:r>
                        <w:t>Software and Services</w:t>
                      </w:r>
                    </w:p>
                    <w:p w14:paraId="743E9083" w14:textId="77777777" w:rsidR="004D37EB" w:rsidRDefault="004D37EB" w:rsidP="004D37EB">
                      <w:pPr>
                        <w:pStyle w:val="Bullet"/>
                        <w:numPr>
                          <w:ilvl w:val="0"/>
                          <w:numId w:val="7"/>
                        </w:numPr>
                      </w:pPr>
                      <w:r>
                        <w:t>Microsoft Azure platform</w:t>
                      </w:r>
                    </w:p>
                    <w:p w14:paraId="4FEA1EBB" w14:textId="29DB94AE" w:rsidR="004D37EB" w:rsidRDefault="004D37EB" w:rsidP="004D37EB">
                      <w:pPr>
                        <w:pStyle w:val="BulletLevel2"/>
                        <w:numPr>
                          <w:ilvl w:val="0"/>
                          <w:numId w:val="5"/>
                        </w:numPr>
                      </w:pPr>
                      <w:r>
                        <w:t>Microsoft Azure</w:t>
                      </w:r>
                      <w:r w:rsidR="00B55328">
                        <w:t xml:space="preserve"> Cloud Services</w:t>
                      </w:r>
                    </w:p>
                    <w:p w14:paraId="67325C5A" w14:textId="77777777" w:rsidR="004D37EB" w:rsidRDefault="004D37EB" w:rsidP="004D37EB">
                      <w:pPr>
                        <w:pStyle w:val="BulletLevel2"/>
                        <w:numPr>
                          <w:ilvl w:val="0"/>
                          <w:numId w:val="5"/>
                        </w:numPr>
                      </w:pPr>
                      <w:r>
                        <w:t>Microsoft Azure SQL Database</w:t>
                      </w:r>
                    </w:p>
                    <w:p w14:paraId="5EB4053A" w14:textId="77777777" w:rsidR="004D37EB" w:rsidRDefault="004D37EB" w:rsidP="004D37EB">
                      <w:pPr>
                        <w:pStyle w:val="BulletLevel2"/>
                        <w:numPr>
                          <w:ilvl w:val="0"/>
                          <w:numId w:val="5"/>
                        </w:numPr>
                      </w:pPr>
                      <w:r>
                        <w:t>Microsoft Azure Virtual Network</w:t>
                      </w:r>
                    </w:p>
                    <w:p w14:paraId="24243B81" w14:textId="77777777" w:rsidR="004D37EB" w:rsidRPr="004D37EB" w:rsidRDefault="004D37EB" w:rsidP="004D37EB">
                      <w:pPr>
                        <w:pStyle w:val="Bodycopy"/>
                      </w:pPr>
                    </w:p>
                  </w:txbxContent>
                </v:textbox>
                <w10:wrap anchorx="page" anchory="page"/>
                <w10:anchorlock/>
              </v:shape>
            </w:pict>
          </mc:Fallback>
        </mc:AlternateContent>
      </w:r>
      <w:r w:rsidR="00BD3976">
        <w:br w:type="column"/>
      </w:r>
    </w:p>
    <w:tbl>
      <w:tblPr>
        <w:tblpPr w:leftFromText="181" w:rightFromText="181" w:vertAnchor="page" w:horzAnchor="page" w:tblpY="1"/>
        <w:tblOverlap w:val="never"/>
        <w:tblW w:w="11996" w:type="dxa"/>
        <w:tblLayout w:type="fixed"/>
        <w:tblCellMar>
          <w:left w:w="0" w:type="dxa"/>
          <w:right w:w="0" w:type="dxa"/>
        </w:tblCellMar>
        <w:tblLook w:val="0000" w:firstRow="0" w:lastRow="0" w:firstColumn="0" w:lastColumn="0" w:noHBand="0" w:noVBand="0"/>
      </w:tblPr>
      <w:tblGrid>
        <w:gridCol w:w="851"/>
        <w:gridCol w:w="9"/>
        <w:gridCol w:w="3393"/>
        <w:gridCol w:w="284"/>
        <w:gridCol w:w="7431"/>
        <w:gridCol w:w="28"/>
      </w:tblGrid>
      <w:tr w:rsidR="00DE42C5" w14:paraId="43B6019F" w14:textId="77777777" w:rsidTr="00DE42C5">
        <w:trPr>
          <w:cantSplit/>
          <w:trHeight w:val="587"/>
        </w:trPr>
        <w:tc>
          <w:tcPr>
            <w:tcW w:w="851" w:type="dxa"/>
            <w:vMerge w:val="restart"/>
          </w:tcPr>
          <w:p w14:paraId="5523935F" w14:textId="77777777" w:rsidR="00DE42C5" w:rsidRDefault="00DE42C5" w:rsidP="00ED13EA"/>
        </w:tc>
        <w:tc>
          <w:tcPr>
            <w:tcW w:w="11145" w:type="dxa"/>
            <w:gridSpan w:val="5"/>
            <w:shd w:val="clear" w:color="auto" w:fill="auto"/>
          </w:tcPr>
          <w:p w14:paraId="48072DCE" w14:textId="77777777" w:rsidR="00DE42C5" w:rsidRDefault="00DE42C5" w:rsidP="0003689D"/>
        </w:tc>
      </w:tr>
      <w:tr w:rsidR="00DE42C5" w14:paraId="3BE51EB8" w14:textId="77777777" w:rsidTr="00506DCC">
        <w:trPr>
          <w:gridAfter w:val="1"/>
          <w:wAfter w:w="28" w:type="dxa"/>
          <w:cantSplit/>
          <w:trHeight w:val="1256"/>
        </w:trPr>
        <w:tc>
          <w:tcPr>
            <w:tcW w:w="851" w:type="dxa"/>
            <w:vMerge/>
          </w:tcPr>
          <w:p w14:paraId="6FE9ABB2" w14:textId="77777777" w:rsidR="00DE42C5" w:rsidRDefault="00DE42C5" w:rsidP="00ED13EA"/>
        </w:tc>
        <w:tc>
          <w:tcPr>
            <w:tcW w:w="11117" w:type="dxa"/>
            <w:gridSpan w:val="4"/>
            <w:shd w:val="clear" w:color="auto" w:fill="auto"/>
          </w:tcPr>
          <w:p w14:paraId="2CFADC0F" w14:textId="77777777" w:rsidR="00DE42C5" w:rsidRPr="00DE42C5" w:rsidRDefault="00506DCC" w:rsidP="00DE42C5">
            <w:pPr>
              <w:pStyle w:val="Casestudydescription"/>
              <w:rPr>
                <w:rFonts w:ascii="Segoe UI Semibold" w:hAnsi="Segoe UI Semibold"/>
                <w:color w:val="auto"/>
                <w:sz w:val="44"/>
                <w:szCs w:val="44"/>
              </w:rPr>
            </w:pPr>
            <w:r>
              <w:rPr>
                <w:rFonts w:ascii="Segoe UI Semibold" w:hAnsi="Segoe UI Semibold"/>
                <w:color w:val="auto"/>
                <w:sz w:val="44"/>
                <w:szCs w:val="44"/>
              </w:rPr>
              <w:t xml:space="preserve"> </w:t>
            </w:r>
          </w:p>
          <w:p w14:paraId="7FC56F25" w14:textId="77777777" w:rsidR="00DE42C5" w:rsidRPr="001501D5" w:rsidRDefault="00DE42C5" w:rsidP="00DE42C5">
            <w:pPr>
              <w:pStyle w:val="Casestudydescription"/>
            </w:pPr>
          </w:p>
        </w:tc>
      </w:tr>
      <w:tr w:rsidR="00DE42C5" w14:paraId="351549A4" w14:textId="77777777" w:rsidTr="00DE42C5">
        <w:trPr>
          <w:cantSplit/>
          <w:trHeight w:val="797"/>
        </w:trPr>
        <w:tc>
          <w:tcPr>
            <w:tcW w:w="851" w:type="dxa"/>
            <w:vMerge/>
          </w:tcPr>
          <w:p w14:paraId="6BE79FD6" w14:textId="77777777" w:rsidR="00DE42C5" w:rsidRDefault="00DE42C5" w:rsidP="00ED13EA"/>
        </w:tc>
        <w:tc>
          <w:tcPr>
            <w:tcW w:w="11145" w:type="dxa"/>
            <w:gridSpan w:val="5"/>
          </w:tcPr>
          <w:p w14:paraId="3AB51111" w14:textId="77777777" w:rsidR="00DE42C5" w:rsidRDefault="00DE42C5" w:rsidP="00ED13EA">
            <w:pPr>
              <w:spacing w:after="80"/>
              <w:jc w:val="right"/>
              <w:rPr>
                <w:color w:val="FF9900"/>
              </w:rPr>
            </w:pPr>
          </w:p>
        </w:tc>
      </w:tr>
      <w:tr w:rsidR="00ED13EA" w14:paraId="2A1ACA6C" w14:textId="77777777" w:rsidTr="00DE42C5">
        <w:trPr>
          <w:cantSplit/>
          <w:trHeight w:hRule="exact" w:val="949"/>
        </w:trPr>
        <w:tc>
          <w:tcPr>
            <w:tcW w:w="860" w:type="dxa"/>
            <w:gridSpan w:val="2"/>
            <w:vMerge w:val="restart"/>
          </w:tcPr>
          <w:p w14:paraId="2BCA2B95" w14:textId="77777777" w:rsidR="00ED13EA" w:rsidRDefault="00ED13EA" w:rsidP="00ED13EA"/>
        </w:tc>
        <w:tc>
          <w:tcPr>
            <w:tcW w:w="3393" w:type="dxa"/>
            <w:vMerge w:val="restart"/>
          </w:tcPr>
          <w:p w14:paraId="394EFEA6" w14:textId="77777777" w:rsidR="00ED13EA" w:rsidRPr="007F5170" w:rsidRDefault="00ED13EA" w:rsidP="00ED13EA">
            <w:pPr>
              <w:rPr>
                <w:sz w:val="8"/>
              </w:rPr>
            </w:pPr>
          </w:p>
          <w:p w14:paraId="11E56299" w14:textId="77777777" w:rsidR="00ED13EA" w:rsidRDefault="00ED13EA" w:rsidP="00ED13EA"/>
          <w:p w14:paraId="706E1E50" w14:textId="03B5AE28" w:rsidR="004D37EB" w:rsidRDefault="00467812" w:rsidP="00ED13EA">
            <w:r>
              <w:rPr>
                <w:noProof/>
                <w:color w:val="47AABD"/>
                <w:sz w:val="42"/>
                <w:szCs w:val="42"/>
                <w:lang w:val="en-US"/>
              </w:rPr>
              <w:drawing>
                <wp:inline distT="0" distB="0" distL="0" distR="0" wp14:anchorId="33123C22" wp14:editId="2939CF7F">
                  <wp:extent cx="1421436" cy="581025"/>
                  <wp:effectExtent l="0" t="0" r="7620" b="0"/>
                  <wp:docPr id="3" name="Picture 1" descr="Temeno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enos">
                            <a:hlinkClick r:id="rId1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4724" cy="582369"/>
                          </a:xfrm>
                          <a:prstGeom prst="rect">
                            <a:avLst/>
                          </a:prstGeom>
                          <a:noFill/>
                          <a:ln>
                            <a:noFill/>
                          </a:ln>
                        </pic:spPr>
                      </pic:pic>
                    </a:graphicData>
                  </a:graphic>
                </wp:inline>
              </w:drawing>
            </w:r>
          </w:p>
        </w:tc>
        <w:tc>
          <w:tcPr>
            <w:tcW w:w="284" w:type="dxa"/>
            <w:tcBorders>
              <w:left w:val="nil"/>
            </w:tcBorders>
          </w:tcPr>
          <w:p w14:paraId="1D61F4C8" w14:textId="77777777" w:rsidR="00ED13EA" w:rsidRDefault="00ED13EA" w:rsidP="00ED13EA"/>
        </w:tc>
        <w:tc>
          <w:tcPr>
            <w:tcW w:w="7459" w:type="dxa"/>
            <w:gridSpan w:val="2"/>
          </w:tcPr>
          <w:p w14:paraId="4F371B6F" w14:textId="6CEB573A" w:rsidR="00ED13EA" w:rsidRDefault="00B55328" w:rsidP="00B55328">
            <w:pPr>
              <w:pStyle w:val="DocumentTitle"/>
            </w:pPr>
            <w:r>
              <w:t xml:space="preserve">Core Banking </w:t>
            </w:r>
            <w:r w:rsidR="007E1044">
              <w:t>Software</w:t>
            </w:r>
            <w:r>
              <w:t xml:space="preserve"> Provider</w:t>
            </w:r>
            <w:r w:rsidR="007E1044">
              <w:t xml:space="preserve"> </w:t>
            </w:r>
            <w:r>
              <w:t>Moves Flagship Offering to the Cloud</w:t>
            </w:r>
            <w:r w:rsidR="00FD28B7">
              <w:t xml:space="preserve"> and</w:t>
            </w:r>
            <w:r>
              <w:t xml:space="preserve"> Opens New Markets</w:t>
            </w:r>
            <w:r w:rsidR="00700D4B">
              <w:t xml:space="preserve"> </w:t>
            </w:r>
          </w:p>
        </w:tc>
      </w:tr>
      <w:tr w:rsidR="00ED13EA" w14:paraId="414B8C5A" w14:textId="77777777" w:rsidTr="00DE42C5">
        <w:trPr>
          <w:cantSplit/>
        </w:trPr>
        <w:tc>
          <w:tcPr>
            <w:tcW w:w="860" w:type="dxa"/>
            <w:gridSpan w:val="2"/>
            <w:vMerge/>
          </w:tcPr>
          <w:p w14:paraId="4A67332E" w14:textId="77777777" w:rsidR="00ED13EA" w:rsidRDefault="00ED13EA" w:rsidP="00ED13EA"/>
        </w:tc>
        <w:tc>
          <w:tcPr>
            <w:tcW w:w="3393" w:type="dxa"/>
            <w:vMerge/>
            <w:tcBorders>
              <w:top w:val="single" w:sz="4" w:space="0" w:color="auto"/>
            </w:tcBorders>
          </w:tcPr>
          <w:p w14:paraId="674BF599" w14:textId="77777777" w:rsidR="00ED13EA" w:rsidRDefault="00ED13EA" w:rsidP="00ED13EA"/>
        </w:tc>
        <w:tc>
          <w:tcPr>
            <w:tcW w:w="284" w:type="dxa"/>
            <w:tcBorders>
              <w:left w:val="nil"/>
            </w:tcBorders>
          </w:tcPr>
          <w:p w14:paraId="6E084809" w14:textId="77777777" w:rsidR="00ED13EA" w:rsidRDefault="00ED13EA" w:rsidP="00ED13EA">
            <w:pPr>
              <w:rPr>
                <w:noProof/>
                <w:sz w:val="20"/>
              </w:rPr>
            </w:pPr>
          </w:p>
        </w:tc>
        <w:tc>
          <w:tcPr>
            <w:tcW w:w="7459" w:type="dxa"/>
            <w:gridSpan w:val="2"/>
            <w:vAlign w:val="bottom"/>
          </w:tcPr>
          <w:p w14:paraId="46FA94C2" w14:textId="77777777" w:rsidR="00ED13EA" w:rsidRDefault="00ED13EA" w:rsidP="0003689D"/>
        </w:tc>
      </w:tr>
    </w:tbl>
    <w:p w14:paraId="2842115E" w14:textId="7DF3826F" w:rsidR="00BD3976" w:rsidRPr="00D6547F" w:rsidRDefault="007E1044" w:rsidP="00BD3976">
      <w:pPr>
        <w:pStyle w:val="Pullquote"/>
        <w:rPr>
          <w:lang w:val="de-DE"/>
        </w:rPr>
      </w:pPr>
      <w:r>
        <w:rPr>
          <w:lang w:val="de-DE"/>
        </w:rPr>
        <w:t>"</w:t>
      </w:r>
      <w:r w:rsidR="00B55328">
        <w:rPr>
          <w:lang w:val="de-DE"/>
        </w:rPr>
        <w:t xml:space="preserve">A small bank can now establish a global brand presence at a very low cost by using a software-as-a-service model. </w:t>
      </w:r>
      <w:r w:rsidR="002C498E">
        <w:rPr>
          <w:lang w:val="de-DE"/>
        </w:rPr>
        <w:t xml:space="preserve">Having </w:t>
      </w:r>
      <w:r w:rsidR="00B55328">
        <w:rPr>
          <w:lang w:val="de-DE"/>
        </w:rPr>
        <w:t xml:space="preserve">a global Azure-based T24 </w:t>
      </w:r>
      <w:r w:rsidR="0051133E">
        <w:rPr>
          <w:lang w:val="de-DE"/>
        </w:rPr>
        <w:t xml:space="preserve">core banking </w:t>
      </w:r>
      <w:r w:rsidR="00B55328">
        <w:rPr>
          <w:lang w:val="de-DE"/>
        </w:rPr>
        <w:t>s</w:t>
      </w:r>
      <w:r w:rsidR="0051133E">
        <w:rPr>
          <w:lang w:val="de-DE"/>
        </w:rPr>
        <w:t>olution</w:t>
      </w:r>
      <w:r w:rsidR="00B55328">
        <w:rPr>
          <w:lang w:val="de-DE"/>
        </w:rPr>
        <w:t xml:space="preserve"> can change banking substantially</w:t>
      </w:r>
      <w:r w:rsidR="00700D4B">
        <w:rPr>
          <w:lang w:val="de-DE"/>
        </w:rPr>
        <w:t>.“</w:t>
      </w:r>
      <w:r>
        <w:rPr>
          <w:lang w:val="de-DE"/>
        </w:rPr>
        <w:t xml:space="preserve"> </w:t>
      </w:r>
    </w:p>
    <w:p w14:paraId="773542E2" w14:textId="77777777" w:rsidR="00BD3976" w:rsidRDefault="007E1044" w:rsidP="00BD3976">
      <w:pPr>
        <w:pStyle w:val="PullQuotecredit"/>
      </w:pPr>
      <w:r>
        <w:t xml:space="preserve">John Schlesinger, </w:t>
      </w:r>
      <w:r w:rsidR="00700D4B">
        <w:t xml:space="preserve">Chief Enterprise Architect, </w:t>
      </w:r>
      <w:r>
        <w:t>Temenos</w:t>
      </w:r>
    </w:p>
    <w:p w14:paraId="3D02E8FC" w14:textId="656A5DC3" w:rsidR="004D37EB" w:rsidRDefault="004D37EB" w:rsidP="004D37EB">
      <w:pPr>
        <w:pStyle w:val="StandFirstIntroduction"/>
      </w:pPr>
      <w:r>
        <w:t xml:space="preserve">Temenos, a global banking software provider, wanted to build a cloud-based version of its </w:t>
      </w:r>
      <w:r w:rsidR="001C7FC9">
        <w:t>existing on-premise</w:t>
      </w:r>
      <w:r w:rsidR="00FD28B7">
        <w:t>s</w:t>
      </w:r>
      <w:r w:rsidR="001C7FC9">
        <w:t xml:space="preserve"> </w:t>
      </w:r>
      <w:r>
        <w:t xml:space="preserve">T24 </w:t>
      </w:r>
      <w:r w:rsidR="0051133E">
        <w:t xml:space="preserve">core banking </w:t>
      </w:r>
      <w:r>
        <w:t xml:space="preserve">application </w:t>
      </w:r>
      <w:r w:rsidR="00B55328">
        <w:t>to give customers functionality in the cloud.</w:t>
      </w:r>
      <w:r>
        <w:t xml:space="preserve"> </w:t>
      </w:r>
      <w:r w:rsidR="009113AE">
        <w:t>By</w:t>
      </w:r>
      <w:r>
        <w:t xml:space="preserve"> </w:t>
      </w:r>
      <w:r w:rsidR="00EF6346">
        <w:t>develop</w:t>
      </w:r>
      <w:r w:rsidR="009113AE">
        <w:t>ing</w:t>
      </w:r>
      <w:r w:rsidR="00EF6346">
        <w:t xml:space="preserve"> </w:t>
      </w:r>
      <w:r w:rsidR="009113AE">
        <w:t xml:space="preserve">its new </w:t>
      </w:r>
      <w:r w:rsidR="00EF6346">
        <w:t>version on</w:t>
      </w:r>
      <w:r>
        <w:t xml:space="preserve"> the Microsoft Azure platform</w:t>
      </w:r>
      <w:r w:rsidR="009113AE">
        <w:t>,</w:t>
      </w:r>
      <w:r>
        <w:t xml:space="preserve"> Temenos can now offer cloud banking capabilities to </w:t>
      </w:r>
      <w:r w:rsidR="00A85F86">
        <w:t xml:space="preserve">financial services companies </w:t>
      </w:r>
      <w:r>
        <w:t xml:space="preserve">that </w:t>
      </w:r>
      <w:r w:rsidR="00B55328">
        <w:t>ha</w:t>
      </w:r>
      <w:r w:rsidR="00A85F86">
        <w:t>ve</w:t>
      </w:r>
      <w:r w:rsidR="00B55328">
        <w:t xml:space="preserve"> </w:t>
      </w:r>
      <w:r>
        <w:t>traditionally use</w:t>
      </w:r>
      <w:r w:rsidR="001C7FC9">
        <w:t>d</w:t>
      </w:r>
      <w:r>
        <w:t xml:space="preserve"> on-premises solutions, and it can help </w:t>
      </w:r>
      <w:r w:rsidR="00A85F86">
        <w:t xml:space="preserve">them </w:t>
      </w:r>
      <w:r w:rsidR="005F32B6">
        <w:t>meet strict security and compliance requirements</w:t>
      </w:r>
      <w:r>
        <w:t xml:space="preserve">. Additionally, Temenos customers can quickly </w:t>
      </w:r>
      <w:r w:rsidR="00B55328">
        <w:t xml:space="preserve">access </w:t>
      </w:r>
      <w:r>
        <w:t xml:space="preserve">the cloud version of T24, and they have more flexibility </w:t>
      </w:r>
      <w:r w:rsidR="00C42221">
        <w:t>and scalability</w:t>
      </w:r>
      <w:r>
        <w:t>.</w:t>
      </w:r>
    </w:p>
    <w:p w14:paraId="503A3E50" w14:textId="77777777" w:rsidR="00BD3976" w:rsidRDefault="00BD3976" w:rsidP="00BD3976">
      <w:pPr>
        <w:pStyle w:val="Bodycopy"/>
      </w:pPr>
    </w:p>
    <w:p w14:paraId="18319768" w14:textId="77777777" w:rsidR="00BD3976" w:rsidRDefault="00BD3976" w:rsidP="00DD69AC">
      <w:pPr>
        <w:pStyle w:val="SectionHeading"/>
        <w:sectPr w:rsidR="00BD3976" w:rsidSect="00ED13EA">
          <w:headerReference w:type="even" r:id="rId16"/>
          <w:headerReference w:type="default" r:id="rId17"/>
          <w:footerReference w:type="default" r:id="rId18"/>
          <w:type w:val="continuous"/>
          <w:pgSz w:w="12242" w:h="15842" w:code="1"/>
          <w:pgMar w:top="0" w:right="851" w:bottom="1321" w:left="851" w:header="0" w:footer="40" w:gutter="0"/>
          <w:cols w:num="2" w:space="720" w:equalWidth="0">
            <w:col w:w="3321" w:space="364"/>
            <w:col w:w="6855"/>
          </w:cols>
          <w:titlePg/>
          <w:docGrid w:linePitch="360"/>
        </w:sectPr>
      </w:pPr>
    </w:p>
    <w:p w14:paraId="6243B1C2" w14:textId="1AE7BE93" w:rsidR="00DD69AC" w:rsidRDefault="00467812" w:rsidP="00DD69AC">
      <w:pPr>
        <w:pStyle w:val="SectionHeading"/>
      </w:pPr>
      <w:r>
        <w:rPr>
          <w:noProof/>
        </w:rPr>
        <w:lastRenderedPageBreak/>
        <mc:AlternateContent>
          <mc:Choice Requires="wps">
            <w:drawing>
              <wp:anchor distT="36195" distB="0" distL="114300" distR="114300" simplePos="0" relativeHeight="251658752" behindDoc="1" locked="1" layoutInCell="1" allowOverlap="1" wp14:anchorId="02910077" wp14:editId="0882BF0B">
                <wp:simplePos x="0" y="0"/>
                <wp:positionH relativeFrom="page">
                  <wp:posOffset>540385</wp:posOffset>
                </wp:positionH>
                <wp:positionV relativeFrom="page">
                  <wp:posOffset>8831580</wp:posOffset>
                </wp:positionV>
                <wp:extent cx="7132955" cy="941070"/>
                <wp:effectExtent l="0" t="0" r="0" b="0"/>
                <wp:wrapTopAndBottom/>
                <wp:docPr id="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955" cy="941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115" w:type="dxa"/>
                              <w:tblLayout w:type="fixed"/>
                              <w:tblCellMar>
                                <w:left w:w="0" w:type="dxa"/>
                                <w:right w:w="0" w:type="dxa"/>
                              </w:tblCellMar>
                              <w:tblLook w:val="0000" w:firstRow="0" w:lastRow="0" w:firstColumn="0" w:lastColumn="0" w:noHBand="0" w:noVBand="0"/>
                            </w:tblPr>
                            <w:tblGrid>
                              <w:gridCol w:w="3119"/>
                              <w:gridCol w:w="284"/>
                              <w:gridCol w:w="284"/>
                              <w:gridCol w:w="7428"/>
                            </w:tblGrid>
                            <w:tr w:rsidR="001C1054" w14:paraId="138545B4" w14:textId="77777777" w:rsidTr="000A0CDD">
                              <w:trPr>
                                <w:cantSplit/>
                                <w:trHeight w:val="1440"/>
                              </w:trPr>
                              <w:tc>
                                <w:tcPr>
                                  <w:tcW w:w="3119" w:type="dxa"/>
                                  <w:vAlign w:val="bottom"/>
                                </w:tcPr>
                                <w:p w14:paraId="6D26530A" w14:textId="77777777" w:rsidR="001C1054" w:rsidRDefault="001C1054" w:rsidP="00C51F7C"/>
                              </w:tc>
                              <w:tc>
                                <w:tcPr>
                                  <w:tcW w:w="284" w:type="dxa"/>
                                  <w:tcBorders>
                                    <w:left w:val="nil"/>
                                  </w:tcBorders>
                                </w:tcPr>
                                <w:p w14:paraId="215A38C7" w14:textId="77777777" w:rsidR="001C1054" w:rsidRDefault="001C1054" w:rsidP="00C51F7C"/>
                              </w:tc>
                              <w:tc>
                                <w:tcPr>
                                  <w:tcW w:w="284" w:type="dxa"/>
                                  <w:tcBorders>
                                    <w:left w:val="nil"/>
                                  </w:tcBorders>
                                </w:tcPr>
                                <w:p w14:paraId="26418016" w14:textId="77777777" w:rsidR="001C1054" w:rsidRDefault="001C1054" w:rsidP="00C51F7C"/>
                              </w:tc>
                              <w:tc>
                                <w:tcPr>
                                  <w:tcW w:w="7428" w:type="dxa"/>
                                  <w:vAlign w:val="bottom"/>
                                </w:tcPr>
                                <w:p w14:paraId="0135289C" w14:textId="77777777" w:rsidR="001C1054" w:rsidRDefault="001C1054" w:rsidP="00C51F7C">
                                  <w:pPr>
                                    <w:jc w:val="right"/>
                                    <w:rPr>
                                      <w:color w:val="FF9900"/>
                                    </w:rPr>
                                  </w:pPr>
                                </w:p>
                              </w:tc>
                            </w:tr>
                          </w:tbl>
                          <w:p w14:paraId="6E06DB9E" w14:textId="77777777" w:rsidR="001C1054" w:rsidRDefault="001C1054" w:rsidP="00572F1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10077" id="_x0000_t202" coordsize="21600,21600" o:spt="202" path="m,l,21600r21600,l21600,xe">
                <v:stroke joinstyle="miter"/>
                <v:path gradientshapeok="t" o:connecttype="rect"/>
              </v:shapetype>
              <v:shape id="Text Box 135" o:spid="_x0000_s1028" type="#_x0000_t202" style="position:absolute;margin-left:42.55pt;margin-top:695.4pt;width:561.65pt;height:74.1pt;z-index:-251657728;visibility:visible;mso-wrap-style:square;mso-width-percent:0;mso-height-percent:0;mso-wrap-distance-left:9pt;mso-wrap-distance-top:2.85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" stroked="f">
                <v:textbox inset="0,0,0,0">
                  <w:txbxContent>
                    <w:tbl>
                      <w:tblPr>
                        <w:tblW w:w="11115" w:type="dxa"/>
                        <w:tblLayout w:type="fixed"/>
                        <w:tblCellMar>
                          <w:left w:w="0" w:type="dxa"/>
                          <w:right w:w="0" w:type="dxa"/>
                        </w:tblCellMar>
                        <w:tblLook w:val="0000" w:firstRow="0" w:lastRow="0" w:firstColumn="0" w:lastColumn="0" w:noHBand="0" w:noVBand="0"/>
                      </w:tblPr>
                      <w:tblGrid>
                        <w:gridCol w:w="3119"/>
                        <w:gridCol w:w="284"/>
                        <w:gridCol w:w="284"/>
                        <w:gridCol w:w="7428"/>
                      </w:tblGrid>
                      <w:tr w:rsidR="001C1054" w14:paraId="138545B4" w14:textId="77777777" w:rsidTr="000A0CDD">
                        <w:trPr>
                          <w:cantSplit/>
                          <w:trHeight w:val="1440"/>
                        </w:trPr>
                        <w:tc>
                          <w:tcPr>
                            <w:tcW w:w="3119" w:type="dxa"/>
                            <w:vAlign w:val="bottom"/>
                          </w:tcPr>
                          <w:p w14:paraId="6D26530A" w14:textId="77777777" w:rsidR="001C1054" w:rsidRDefault="001C1054" w:rsidP="00C51F7C"/>
                        </w:tc>
                        <w:tc>
                          <w:tcPr>
                            <w:tcW w:w="284" w:type="dxa"/>
                            <w:tcBorders>
                              <w:left w:val="nil"/>
                            </w:tcBorders>
                          </w:tcPr>
                          <w:p w14:paraId="215A38C7" w14:textId="77777777" w:rsidR="001C1054" w:rsidRDefault="001C1054" w:rsidP="00C51F7C"/>
                        </w:tc>
                        <w:tc>
                          <w:tcPr>
                            <w:tcW w:w="284" w:type="dxa"/>
                            <w:tcBorders>
                              <w:left w:val="nil"/>
                            </w:tcBorders>
                          </w:tcPr>
                          <w:p w14:paraId="26418016" w14:textId="77777777" w:rsidR="001C1054" w:rsidRDefault="001C1054" w:rsidP="00C51F7C"/>
                        </w:tc>
                        <w:tc>
                          <w:tcPr>
                            <w:tcW w:w="7428" w:type="dxa"/>
                            <w:vAlign w:val="bottom"/>
                          </w:tcPr>
                          <w:p w14:paraId="0135289C" w14:textId="77777777" w:rsidR="001C1054" w:rsidRDefault="001C1054" w:rsidP="00C51F7C">
                            <w:pPr>
                              <w:jc w:val="right"/>
                              <w:rPr>
                                <w:color w:val="FF9900"/>
                              </w:rPr>
                            </w:pPr>
                          </w:p>
                        </w:tc>
                      </w:tr>
                    </w:tbl>
                    <w:p w14:paraId="6E06DB9E" w14:textId="77777777" w:rsidR="001C1054" w:rsidRDefault="001C1054" w:rsidP="00572F16"/>
                  </w:txbxContent>
                </v:textbox>
                <w10:wrap type="topAndBottom" anchorx="page" anchory="page"/>
                <w10:anchorlock/>
              </v:shape>
            </w:pict>
          </mc:Fallback>
        </mc:AlternateContent>
      </w:r>
      <w:r w:rsidR="00A94CBC">
        <w:br w:type="column"/>
      </w:r>
      <w:r w:rsidR="00DD69AC">
        <w:lastRenderedPageBreak/>
        <w:t>Business</w:t>
      </w:r>
      <w:r w:rsidR="00591D27">
        <w:t xml:space="preserve"> Needs</w:t>
      </w:r>
    </w:p>
    <w:p w14:paraId="5625A12D" w14:textId="483D1C77" w:rsidR="00F15C3B" w:rsidRDefault="00F15C3B" w:rsidP="004D37EB">
      <w:pPr>
        <w:pStyle w:val="Bodycopy"/>
      </w:pPr>
      <w:r>
        <w:t xml:space="preserve">The banking industry today is experiencing big changes, with banking becoming digital and more customers using mobile devices to </w:t>
      </w:r>
      <w:r w:rsidR="008C655C">
        <w:t>conduct financial transactions.</w:t>
      </w:r>
    </w:p>
    <w:p w14:paraId="73B8F70B" w14:textId="77777777" w:rsidR="00F15C3B" w:rsidRDefault="00F15C3B" w:rsidP="004D37EB">
      <w:pPr>
        <w:pStyle w:val="Bodycopy"/>
      </w:pPr>
    </w:p>
    <w:p w14:paraId="6AC6F664" w14:textId="17BC3080" w:rsidR="00B55328" w:rsidRDefault="004D37EB" w:rsidP="004D37EB">
      <w:pPr>
        <w:pStyle w:val="Bodycopy"/>
      </w:pPr>
      <w:r>
        <w:t>It’s a trend that has caught the attention of Temenos, a global banking software provider that offers core banking, payments, wealth management, and business analytics solutions.</w:t>
      </w:r>
      <w:r w:rsidR="00723F1D">
        <w:t xml:space="preserve"> </w:t>
      </w:r>
      <w:r w:rsidR="00B55328">
        <w:t>“Banking</w:t>
      </w:r>
      <w:r w:rsidR="00A85F86">
        <w:t xml:space="preserve"> i</w:t>
      </w:r>
      <w:r w:rsidR="00B55328">
        <w:t xml:space="preserve">s going through massive structural change, and it’s becoming a commoditized business,” says Ben Robinson, Chief Strategy </w:t>
      </w:r>
      <w:r w:rsidR="002C498E">
        <w:t xml:space="preserve">and Marketing </w:t>
      </w:r>
      <w:r w:rsidR="00B55328">
        <w:t xml:space="preserve">Officer, Temenos. </w:t>
      </w:r>
      <w:r w:rsidR="00B55328">
        <w:lastRenderedPageBreak/>
        <w:t>“</w:t>
      </w:r>
      <w:r w:rsidR="00152657">
        <w:t xml:space="preserve">To survive, </w:t>
      </w:r>
      <w:r w:rsidR="00B55328">
        <w:t xml:space="preserve">banks need to move upstream </w:t>
      </w:r>
      <w:r w:rsidR="00152657">
        <w:t xml:space="preserve">in order </w:t>
      </w:r>
      <w:r w:rsidR="00B55328">
        <w:t>to add more value to their customers’ lives</w:t>
      </w:r>
      <w:r w:rsidR="003F4EE0">
        <w:t xml:space="preserve"> and</w:t>
      </w:r>
      <w:r w:rsidR="00B55328">
        <w:t xml:space="preserve"> help them make better decisions.”</w:t>
      </w:r>
    </w:p>
    <w:p w14:paraId="5B33FE2B" w14:textId="77777777" w:rsidR="008C655C" w:rsidRDefault="008C655C" w:rsidP="004D37EB">
      <w:pPr>
        <w:pStyle w:val="Bodycopy"/>
      </w:pPr>
    </w:p>
    <w:p w14:paraId="17B1162B" w14:textId="0139F9B5" w:rsidR="004D37EB" w:rsidRDefault="008C655C" w:rsidP="004D37EB">
      <w:pPr>
        <w:pStyle w:val="Bodycopy"/>
      </w:pPr>
      <w:r>
        <w:t xml:space="preserve">At the same time, banks are seeking to lower their IT costs. </w:t>
      </w:r>
      <w:r w:rsidR="004D37EB">
        <w:t xml:space="preserve">“One of the biggest expenses for banks is IT, and with </w:t>
      </w:r>
      <w:r>
        <w:t xml:space="preserve">an increasing </w:t>
      </w:r>
      <w:r w:rsidR="004D37EB">
        <w:t>emphasis on lower margins, they have to look at the cloud as a way of reducing IT costs</w:t>
      </w:r>
      <w:r>
        <w:t xml:space="preserve">,” says </w:t>
      </w:r>
      <w:r w:rsidRPr="00BC4BBA">
        <w:t>John Schlesinger, Chief Enterprise Architect, Temenos</w:t>
      </w:r>
      <w:r>
        <w:t>. “</w:t>
      </w:r>
      <w:r w:rsidR="004D37EB">
        <w:t>This is a traditionally on-premise</w:t>
      </w:r>
      <w:r w:rsidR="003F4EE0">
        <w:t>s</w:t>
      </w:r>
      <w:r w:rsidR="004D37EB">
        <w:t xml:space="preserve"> industry in terms of core banking applications, but our view is that by 2020, all new core </w:t>
      </w:r>
      <w:r w:rsidR="004D37EB">
        <w:lastRenderedPageBreak/>
        <w:t xml:space="preserve">banking projects will be on </w:t>
      </w:r>
      <w:r w:rsidR="003F4EE0">
        <w:t>i</w:t>
      </w:r>
      <w:r>
        <w:t>nfrastructure-as-a-</w:t>
      </w:r>
      <w:r w:rsidR="003F4EE0">
        <w:t>s</w:t>
      </w:r>
      <w:r>
        <w:t>ervice (</w:t>
      </w:r>
      <w:r w:rsidR="004D37EB">
        <w:t>IaaS</w:t>
      </w:r>
      <w:r>
        <w:t>)</w:t>
      </w:r>
      <w:r w:rsidR="004D37EB">
        <w:t xml:space="preserve"> platforms, if not software-as-a-service platforms.”</w:t>
      </w:r>
    </w:p>
    <w:p w14:paraId="3925DCA6" w14:textId="77777777" w:rsidR="004D37EB" w:rsidRDefault="004D37EB" w:rsidP="004D37EB">
      <w:pPr>
        <w:pStyle w:val="Bodycopy"/>
      </w:pPr>
    </w:p>
    <w:p w14:paraId="62168223" w14:textId="282D44DC" w:rsidR="004D37EB" w:rsidRDefault="004D37EB" w:rsidP="004D37EB">
      <w:pPr>
        <w:pStyle w:val="Bodycopy"/>
      </w:pPr>
      <w:r>
        <w:t xml:space="preserve">Temenos sought to create a cloud-based version of its flagship T24 application, a software solution that powers the core banking operations of </w:t>
      </w:r>
      <w:r w:rsidR="00EF6346">
        <w:t>more than</w:t>
      </w:r>
      <w:r w:rsidR="0051133E">
        <w:t xml:space="preserve"> </w:t>
      </w:r>
      <w:r>
        <w:t>700 banks worldwide. The challenge? Finding the right cloud technology for hosting T24. “We needed to find a technology that was scalable but also very easy to set up</w:t>
      </w:r>
      <w:r w:rsidR="00A85F86">
        <w:t>,</w:t>
      </w:r>
      <w:r w:rsidR="00EF6346">
        <w:t xml:space="preserve">” </w:t>
      </w:r>
      <w:r>
        <w:t>says Schlesinger.</w:t>
      </w:r>
    </w:p>
    <w:p w14:paraId="2DAD1C8F" w14:textId="77777777" w:rsidR="006A5A72" w:rsidRDefault="006A5A72" w:rsidP="005024D1">
      <w:pPr>
        <w:pStyle w:val="Bodycopy"/>
      </w:pPr>
    </w:p>
    <w:p w14:paraId="0E68D03B" w14:textId="77777777" w:rsidR="00AF1B00" w:rsidRDefault="00AF1B00" w:rsidP="00AF1B00">
      <w:pPr>
        <w:pStyle w:val="SectionHeading"/>
      </w:pPr>
      <w:r>
        <w:t>Solution</w:t>
      </w:r>
    </w:p>
    <w:p w14:paraId="25424945" w14:textId="171A7446" w:rsidR="004D37EB" w:rsidRDefault="004D37EB" w:rsidP="004D37EB">
      <w:pPr>
        <w:pStyle w:val="Bodycopy"/>
      </w:pPr>
      <w:r>
        <w:t xml:space="preserve">After choosing </w:t>
      </w:r>
      <w:r w:rsidR="00EF6346">
        <w:t xml:space="preserve">the Microsoft </w:t>
      </w:r>
      <w:r>
        <w:t>Azure</w:t>
      </w:r>
      <w:r w:rsidR="00EF6346">
        <w:t xml:space="preserve"> cloud platform</w:t>
      </w:r>
      <w:r>
        <w:t xml:space="preserve">, </w:t>
      </w:r>
      <w:r w:rsidR="00EF6346">
        <w:t>Temenos</w:t>
      </w:r>
      <w:r>
        <w:t xml:space="preserve"> developed a cloud version of T24 that </w:t>
      </w:r>
      <w:r w:rsidR="00F22F7A">
        <w:t xml:space="preserve">uses Azure Cloud Services and </w:t>
      </w:r>
      <w:r>
        <w:t>runs in an Azure Worker Role and uses Azure SQL Database as the back-end database. “Many of our T24 core customers are increasingly moving to Microsoft SQL Server on commodity hardware,” Schlesinger says. “Whenever anyone tells me they think SQL Server isn’t really an enterprise platform, I say that’s total nonsense,” says Schlesinger. “Banks love it, and they love it for their core banking applications.”</w:t>
      </w:r>
      <w:r w:rsidR="0035404C">
        <w:t xml:space="preserve"> </w:t>
      </w:r>
      <w:r>
        <w:t xml:space="preserve">The cloud version of T24 also takes advantage of an Azure Virtual Network to extend the application’s on-premises network through </w:t>
      </w:r>
      <w:r w:rsidR="00152657">
        <w:t xml:space="preserve">a </w:t>
      </w:r>
      <w:r>
        <w:t>site-to-site VPN for use by bank branch tellers.</w:t>
      </w:r>
    </w:p>
    <w:p w14:paraId="0386365E" w14:textId="77777777" w:rsidR="004D37EB" w:rsidRDefault="004D37EB" w:rsidP="004D37EB">
      <w:pPr>
        <w:pStyle w:val="Bodycopy"/>
      </w:pPr>
    </w:p>
    <w:p w14:paraId="1EBC7E05" w14:textId="135B06D4" w:rsidR="004D37EB" w:rsidRDefault="004D37EB" w:rsidP="004D37EB">
      <w:pPr>
        <w:pStyle w:val="Bodycopy"/>
      </w:pPr>
      <w:r>
        <w:t xml:space="preserve">Although the majority of T24 customers still use the on-premises version of the software, a growing number are using the cloud version. For example, seven microfinance organizations in emerging markets are using the Azure-based version of T24. “We’ve started working on a full version of T24 in Azure for fully regulated deposit takers,” says Schlesinger. “We </w:t>
      </w:r>
      <w:r w:rsidR="0092214E">
        <w:t xml:space="preserve">intend to </w:t>
      </w:r>
      <w:r>
        <w:t>have this fully functional for those banks by 2018.”</w:t>
      </w:r>
    </w:p>
    <w:p w14:paraId="18F83B26" w14:textId="77777777" w:rsidR="002C3F83" w:rsidRDefault="002C3F83" w:rsidP="005024D1">
      <w:pPr>
        <w:pStyle w:val="Bodycopy"/>
      </w:pPr>
    </w:p>
    <w:p w14:paraId="1B69856F" w14:textId="77777777" w:rsidR="00DD69AC" w:rsidRDefault="00DD69AC" w:rsidP="00DD69AC">
      <w:pPr>
        <w:pStyle w:val="SectionHeading"/>
      </w:pPr>
      <w:r>
        <w:t>Benefits</w:t>
      </w:r>
    </w:p>
    <w:p w14:paraId="56DC9BBB" w14:textId="208F4A45" w:rsidR="004D37EB" w:rsidRDefault="004D37EB" w:rsidP="004D37EB">
      <w:pPr>
        <w:pStyle w:val="Bodycopy"/>
      </w:pPr>
      <w:r>
        <w:t xml:space="preserve">Using Azure, Temenos can provide cloud banking functionality to banks that formerly used on-premises solutions. As a result, banks using T24 in the cloud can deploy the application in only a few months, </w:t>
      </w:r>
      <w:r w:rsidR="008F6839">
        <w:t xml:space="preserve">meet security requirements, </w:t>
      </w:r>
      <w:r>
        <w:t xml:space="preserve">and meet close-of-business deadlines faster. </w:t>
      </w:r>
    </w:p>
    <w:p w14:paraId="00B3034C" w14:textId="77777777" w:rsidR="004D37EB" w:rsidRPr="004B0B9B" w:rsidRDefault="004D37EB" w:rsidP="004D37EB">
      <w:pPr>
        <w:pStyle w:val="Bodycopy"/>
        <w:rPr>
          <w:b/>
        </w:rPr>
      </w:pPr>
    </w:p>
    <w:p w14:paraId="25E6D000" w14:textId="10C9F59B" w:rsidR="004D37EB" w:rsidRPr="009F5C73" w:rsidRDefault="00B55328" w:rsidP="004D37EB">
      <w:pPr>
        <w:pStyle w:val="Bodycopy"/>
        <w:rPr>
          <w:b/>
        </w:rPr>
      </w:pPr>
      <w:r>
        <w:rPr>
          <w:b/>
        </w:rPr>
        <w:t>Expanding to New Markets</w:t>
      </w:r>
    </w:p>
    <w:p w14:paraId="022D1382" w14:textId="396DDFD1" w:rsidR="00EF6346" w:rsidRDefault="004D37EB" w:rsidP="005F5064">
      <w:pPr>
        <w:pStyle w:val="Bodycopy"/>
      </w:pPr>
      <w:r>
        <w:t>By using Microsoft Azure for its T24 application, Temenos can offer a software-as-a-service core banking application to an industry that has historically r</w:t>
      </w:r>
      <w:r w:rsidR="00194E88">
        <w:t>elied on on-premise</w:t>
      </w:r>
      <w:r w:rsidR="003F4EE0">
        <w:t>s</w:t>
      </w:r>
      <w:r w:rsidR="00194E88">
        <w:t xml:space="preserve"> solutions. </w:t>
      </w:r>
      <w:r>
        <w:t>As a result, Temenos can now more easily grow its business in emerging markets by offering T24 on Microsoft Azure</w:t>
      </w:r>
      <w:r w:rsidR="004F05D4">
        <w:t xml:space="preserve">, helping customers like Reall, </w:t>
      </w:r>
      <w:r w:rsidR="468253B2">
        <w:t xml:space="preserve">a </w:t>
      </w:r>
      <w:r w:rsidR="00A7616B">
        <w:t xml:space="preserve">UK-based </w:t>
      </w:r>
      <w:r w:rsidR="468253B2">
        <w:t>c</w:t>
      </w:r>
      <w:r w:rsidR="0051133E">
        <w:t>harity</w:t>
      </w:r>
      <w:r w:rsidR="468253B2">
        <w:t xml:space="preserve"> that </w:t>
      </w:r>
      <w:r>
        <w:t xml:space="preserve">provides basic financial services </w:t>
      </w:r>
      <w:r w:rsidR="005F5064">
        <w:t xml:space="preserve">and financing strategies </w:t>
      </w:r>
      <w:r>
        <w:t xml:space="preserve">to </w:t>
      </w:r>
      <w:r w:rsidR="005F5064">
        <w:t xml:space="preserve">people living in slum communities. </w:t>
      </w:r>
      <w:r w:rsidR="00EF6346">
        <w:t>“</w:t>
      </w:r>
      <w:r w:rsidR="00EF6346">
        <w:rPr>
          <w:lang w:val="de-DE"/>
        </w:rPr>
        <w:t xml:space="preserve">A small bank can now establish a global brand presence at a very low cost by using a software-as-a-service </w:t>
      </w:r>
      <w:r w:rsidR="00C87496">
        <w:rPr>
          <w:lang w:val="de-DE"/>
        </w:rPr>
        <w:t>model. We think</w:t>
      </w:r>
      <w:r w:rsidR="00EF6346">
        <w:rPr>
          <w:lang w:val="de-DE"/>
        </w:rPr>
        <w:t xml:space="preserve"> having a global Azure-based T24 core banking solution can change banking substantially</w:t>
      </w:r>
      <w:r w:rsidR="00C87496">
        <w:rPr>
          <w:lang w:val="de-DE"/>
        </w:rPr>
        <w:t>,“ says Schlesinger.</w:t>
      </w:r>
    </w:p>
    <w:p w14:paraId="3CD845E7" w14:textId="77777777" w:rsidR="004F05D4" w:rsidRDefault="004F05D4" w:rsidP="004D37EB">
      <w:pPr>
        <w:pStyle w:val="Bodycopy"/>
      </w:pPr>
    </w:p>
    <w:p w14:paraId="55ADB995" w14:textId="20982986" w:rsidR="004D37EB" w:rsidRDefault="004D37EB" w:rsidP="004D37EB">
      <w:pPr>
        <w:pStyle w:val="Bodycopy"/>
      </w:pPr>
      <w:r>
        <w:t xml:space="preserve">Temenos </w:t>
      </w:r>
      <w:r w:rsidR="005D6269">
        <w:t>can also support</w:t>
      </w:r>
      <w:r>
        <w:t xml:space="preserve"> startup banks. </w:t>
      </w:r>
      <w:r w:rsidR="004F05D4">
        <w:t xml:space="preserve">“With Azure, we can help new organizations get going fast and bring services to their customers,” says Martin Kearsley, Director of </w:t>
      </w:r>
      <w:r w:rsidR="002C498E">
        <w:t xml:space="preserve">Software </w:t>
      </w:r>
      <w:r w:rsidR="00D06E9E">
        <w:t>Services,</w:t>
      </w:r>
      <w:r w:rsidR="004F05D4">
        <w:t xml:space="preserve"> Temenos. “This is changing peoples’ lives, literally.” Adds Schlesinger, </w:t>
      </w:r>
      <w:r w:rsidRPr="00BC4BBA">
        <w:t xml:space="preserve">“Of the 190,000 </w:t>
      </w:r>
      <w:r>
        <w:t>microfinance organizations</w:t>
      </w:r>
      <w:r w:rsidRPr="00BC4BBA">
        <w:t xml:space="preserve"> in the world, we </w:t>
      </w:r>
      <w:r>
        <w:t xml:space="preserve">initially </w:t>
      </w:r>
      <w:r w:rsidRPr="00BC4BBA">
        <w:t xml:space="preserve">thought we might only be able to sell T24 to a few of them. Now, we don’t see why we can’t sell to all </w:t>
      </w:r>
      <w:r>
        <w:t>of them</w:t>
      </w:r>
      <w:r w:rsidR="005D6269">
        <w:t>.”</w:t>
      </w:r>
    </w:p>
    <w:p w14:paraId="0E28FE9D" w14:textId="77777777" w:rsidR="004D37EB" w:rsidRDefault="004D37EB" w:rsidP="004D37EB">
      <w:pPr>
        <w:pStyle w:val="Bodycopy"/>
      </w:pPr>
    </w:p>
    <w:p w14:paraId="1FC51C70" w14:textId="1D623F7B" w:rsidR="004D37EB" w:rsidRPr="009F5C73" w:rsidRDefault="005F32B6" w:rsidP="004D37EB">
      <w:pPr>
        <w:pStyle w:val="Bodycopy"/>
        <w:rPr>
          <w:b/>
        </w:rPr>
      </w:pPr>
      <w:r>
        <w:rPr>
          <w:b/>
        </w:rPr>
        <w:t xml:space="preserve">Meeting Strict </w:t>
      </w:r>
      <w:r w:rsidR="00B55328">
        <w:rPr>
          <w:b/>
        </w:rPr>
        <w:t xml:space="preserve">Security </w:t>
      </w:r>
      <w:r>
        <w:rPr>
          <w:b/>
        </w:rPr>
        <w:t>and Compliance Requirements</w:t>
      </w:r>
    </w:p>
    <w:p w14:paraId="3BED74ED" w14:textId="1E23D3B1" w:rsidR="00B55328" w:rsidRDefault="005F32B6" w:rsidP="004D37EB">
      <w:pPr>
        <w:pStyle w:val="Bodycopy"/>
      </w:pPr>
      <w:r>
        <w:t>The organization’s banking customers are able to comply with strict financial security regulations by relying on the Azure platform.</w:t>
      </w:r>
      <w:r w:rsidR="00723F1D">
        <w:t xml:space="preserve"> </w:t>
      </w:r>
      <w:r>
        <w:t xml:space="preserve">Because Azure shares its audit report findings, it is easier for Temenos customers to ensure </w:t>
      </w:r>
      <w:r w:rsidR="00723F1D">
        <w:t xml:space="preserve">that </w:t>
      </w:r>
      <w:r>
        <w:t>the necessary technical and operational safeguards are in place. “</w:t>
      </w:r>
      <w:r w:rsidR="00B55328">
        <w:t xml:space="preserve">From a security point of view, I think Azure is </w:t>
      </w:r>
      <w:r w:rsidR="00B25164">
        <w:t xml:space="preserve">a </w:t>
      </w:r>
      <w:r w:rsidR="00B55328">
        <w:t>demonstrably more secure environment than most banks’ datacenters</w:t>
      </w:r>
      <w:r>
        <w:t>,” says Schlesinger.</w:t>
      </w:r>
      <w:r w:rsidR="00B55328">
        <w:t xml:space="preserve"> </w:t>
      </w:r>
      <w:r>
        <w:t>“</w:t>
      </w:r>
      <w:r w:rsidR="00B55328">
        <w:t>From the compliance point of view, we already have the regulators in Europe allowing core banking on the Dublin datacenter</w:t>
      </w:r>
      <w:r w:rsidR="00541A62">
        <w:t>.</w:t>
      </w:r>
      <w:r w:rsidR="00B55328">
        <w:t>”</w:t>
      </w:r>
    </w:p>
    <w:p w14:paraId="2B4BB206" w14:textId="77777777" w:rsidR="00B55328" w:rsidRDefault="00B55328" w:rsidP="004D37EB">
      <w:pPr>
        <w:pStyle w:val="Bodycopy"/>
      </w:pPr>
    </w:p>
    <w:p w14:paraId="11F955B7" w14:textId="2D3218A6" w:rsidR="00B55328" w:rsidRPr="005F32B6" w:rsidRDefault="005F32B6" w:rsidP="004D37EB">
      <w:pPr>
        <w:pStyle w:val="Bodycopy"/>
        <w:rPr>
          <w:b/>
        </w:rPr>
      </w:pPr>
      <w:r w:rsidRPr="005F32B6">
        <w:rPr>
          <w:b/>
        </w:rPr>
        <w:t>Avoiding the Need to Hire More Staff</w:t>
      </w:r>
    </w:p>
    <w:p w14:paraId="1FAB7B92" w14:textId="75444E40" w:rsidR="00B55328" w:rsidRDefault="005F32B6" w:rsidP="004D37EB">
      <w:pPr>
        <w:pStyle w:val="Bodycopy"/>
      </w:pPr>
      <w:r>
        <w:t>Temenos also avoids the need to add new employees by using Azure to support T24. “</w:t>
      </w:r>
      <w:r w:rsidR="00B55328" w:rsidRPr="00BC4BBA">
        <w:t>We</w:t>
      </w:r>
      <w:r w:rsidR="00B55328">
        <w:t xml:space="preserve"> need to focus on providing software to banks</w:t>
      </w:r>
      <w:r>
        <w:t>,” Schlesinger says</w:t>
      </w:r>
      <w:r w:rsidR="0051133E">
        <w:t>.</w:t>
      </w:r>
      <w:r w:rsidR="00B55328">
        <w:t xml:space="preserve"> </w:t>
      </w:r>
      <w:r w:rsidR="0051133E">
        <w:t>“</w:t>
      </w:r>
      <w:r w:rsidR="00B55328">
        <w:t>We</w:t>
      </w:r>
      <w:r w:rsidR="00B55328" w:rsidRPr="00BC4BBA">
        <w:t xml:space="preserve"> don</w:t>
      </w:r>
      <w:r w:rsidR="00B55328">
        <w:t xml:space="preserve">’t want to have to hire database administrators or system programmers or </w:t>
      </w:r>
      <w:r w:rsidR="00B55328" w:rsidRPr="00BC4BBA">
        <w:t xml:space="preserve">have the problem of upgrading databases and applications servers and operating </w:t>
      </w:r>
      <w:r w:rsidR="00B55328">
        <w:t>systems</w:t>
      </w:r>
      <w:r>
        <w:t>.”</w:t>
      </w:r>
    </w:p>
    <w:p w14:paraId="11777216" w14:textId="77777777" w:rsidR="008C655C" w:rsidRDefault="008C655C" w:rsidP="004D37EB">
      <w:pPr>
        <w:pStyle w:val="Bodycopy"/>
        <w:rPr>
          <w:b/>
        </w:rPr>
      </w:pPr>
    </w:p>
    <w:p w14:paraId="52D197E1" w14:textId="77777777" w:rsidR="004D37EB" w:rsidRPr="004B0B9B" w:rsidRDefault="004D37EB" w:rsidP="004D37EB">
      <w:pPr>
        <w:pStyle w:val="Bodycopy"/>
        <w:rPr>
          <w:b/>
        </w:rPr>
      </w:pPr>
      <w:r w:rsidRPr="004B0B9B">
        <w:rPr>
          <w:b/>
        </w:rPr>
        <w:t>Easing Implementation and Providing More Elasticity</w:t>
      </w:r>
    </w:p>
    <w:p w14:paraId="69569F5F" w14:textId="553CF71E" w:rsidR="004D37EB" w:rsidRDefault="004D37EB" w:rsidP="004D37EB">
      <w:pPr>
        <w:pStyle w:val="Bodycopy"/>
      </w:pPr>
      <w:r>
        <w:t xml:space="preserve">Using Microsoft Azure, Temenos </w:t>
      </w:r>
      <w:r w:rsidR="0035404C">
        <w:t>can</w:t>
      </w:r>
      <w:r>
        <w:t xml:space="preserve"> deploy its </w:t>
      </w:r>
      <w:r w:rsidR="0051133E">
        <w:t xml:space="preserve">core </w:t>
      </w:r>
      <w:r>
        <w:t xml:space="preserve">banking </w:t>
      </w:r>
      <w:r w:rsidR="0051133E">
        <w:t xml:space="preserve">system </w:t>
      </w:r>
      <w:r w:rsidR="0035404C">
        <w:t>faster</w:t>
      </w:r>
      <w:r>
        <w:t>, because the app’s standard functionality is implemented in the cloud. “Azure gives us the agility you don’t find in on-premise</w:t>
      </w:r>
      <w:r w:rsidR="003F4EE0">
        <w:t>s</w:t>
      </w:r>
      <w:r>
        <w:t xml:space="preserve"> applications in terms of deployment,” says Schlesinger. “</w:t>
      </w:r>
      <w:r w:rsidR="0035404C">
        <w:t>Azure</w:t>
      </w:r>
      <w:r w:rsidR="002569D3">
        <w:t xml:space="preserve"> </w:t>
      </w:r>
      <w:r w:rsidR="0035404C">
        <w:t>is</w:t>
      </w:r>
      <w:r>
        <w:t xml:space="preserve"> simple to deploy. With T24 on Azure, any </w:t>
      </w:r>
      <w:r w:rsidR="0035404C">
        <w:t>bank</w:t>
      </w:r>
      <w:r>
        <w:t xml:space="preserve"> can run it out of the box in just a few months.”</w:t>
      </w:r>
    </w:p>
    <w:p w14:paraId="272FCB5D" w14:textId="77777777" w:rsidR="004D37EB" w:rsidRDefault="004D37EB" w:rsidP="004D37EB">
      <w:pPr>
        <w:pStyle w:val="Bodycopy"/>
      </w:pPr>
    </w:p>
    <w:p w14:paraId="3CF47761" w14:textId="0FB6F3E5" w:rsidR="004D37EB" w:rsidRDefault="004D37EB" w:rsidP="004D37EB">
      <w:pPr>
        <w:pStyle w:val="Bodycopy"/>
      </w:pPr>
      <w:r>
        <w:t xml:space="preserve">Temenos can also offer customers more flexibility because of the elastic provisioning capabilities in Microsoft Azure. For instance, many T24 users need to meet deadlines at the close of business each day for payment processing and other tasks. </w:t>
      </w:r>
      <w:r w:rsidR="0092214E">
        <w:t xml:space="preserve">With Azure, Temenos can run a tenant using more cores at the close of business to complete the job faster. </w:t>
      </w:r>
      <w:r>
        <w:t>“Regulated banks will be able to meet their close-of-business deadlines much faster and more cost-effectively in the cloud as opposed to using on-premises applications, because of the elastic provisioning in Microsoft Azure,” says Schlesinger. “Azure really enables them to run their business more effectively overall.”</w:t>
      </w:r>
    </w:p>
    <w:p w14:paraId="0A6FF2CE" w14:textId="77777777" w:rsidR="004D37EB" w:rsidRDefault="004D37EB" w:rsidP="004D37EB">
      <w:pPr>
        <w:pStyle w:val="Bodycopy"/>
      </w:pPr>
    </w:p>
    <w:p w14:paraId="130D7E90" w14:textId="77777777" w:rsidR="00781614" w:rsidRDefault="00781614" w:rsidP="004D37EB">
      <w:pPr>
        <w:pStyle w:val="Bodycopy"/>
      </w:pPr>
    </w:p>
    <w:sectPr w:rsidR="00781614" w:rsidSect="001C7FC9">
      <w:type w:val="continuous"/>
      <w:pgSz w:w="12242" w:h="15842" w:code="1"/>
      <w:pgMar w:top="2155" w:right="851" w:bottom="1304" w:left="851" w:header="0" w:footer="40" w:gutter="0"/>
      <w:cols w:num="3" w:space="284" w:equalWidth="0">
        <w:col w:w="3324" w:space="375"/>
        <w:col w:w="3233" w:space="378"/>
        <w:col w:w="323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ABC84A" w14:textId="77777777" w:rsidR="00A432BA" w:rsidRDefault="00A432BA">
      <w:r>
        <w:separator/>
      </w:r>
    </w:p>
  </w:endnote>
  <w:endnote w:type="continuationSeparator" w:id="0">
    <w:p w14:paraId="2000658A" w14:textId="77777777" w:rsidR="00A432BA" w:rsidRDefault="00A43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Franklin Gothic Medium"/>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E1B01FCC-7F78-4B29-8A8C-6FD3A8DEBB84}"/>
    <w:embedBold r:id="rId2" w:fontKey="{CBD1B187-3F5F-4357-81D2-73405329F2A7}"/>
    <w:embedItalic r:id="rId3" w:fontKey="{52180712-9A47-44F0-A0E5-C81DFC4B6FAA}"/>
  </w:font>
  <w:font w:name="PMingLiU">
    <w:altName w:val="新細明體"/>
    <w:panose1 w:val="02020500000000000000"/>
    <w:charset w:val="88"/>
    <w:family w:val="auto"/>
    <w:notTrueType/>
    <w:pitch w:val="variable"/>
    <w:sig w:usb0="00000001" w:usb1="08080000" w:usb2="00000010" w:usb3="00000000" w:csb0="00100000" w:csb1="00000000"/>
  </w:font>
  <w:font w:name="Segoe UI Semibold">
    <w:panose1 w:val="020B0702040204020203"/>
    <w:charset w:val="00"/>
    <w:family w:val="swiss"/>
    <w:pitch w:val="variable"/>
    <w:sig w:usb0="E4002EFF" w:usb1="C000E47F" w:usb2="00000009" w:usb3="00000000" w:csb0="000001FF" w:csb1="00000000"/>
    <w:embedRegular r:id="rId4" w:subsetted="1" w:fontKey="{BB26DDB5-8AE7-4340-A012-BE9AE3EF1DDD}"/>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73" w:type="dxa"/>
      <w:tblLayout w:type="fixed"/>
      <w:tblCellMar>
        <w:left w:w="0" w:type="dxa"/>
        <w:right w:w="0" w:type="dxa"/>
      </w:tblCellMar>
      <w:tblLook w:val="0000" w:firstRow="0" w:lastRow="0" w:firstColumn="0" w:lastColumn="0" w:noHBand="0" w:noVBand="0"/>
    </w:tblPr>
    <w:tblGrid>
      <w:gridCol w:w="6663"/>
      <w:gridCol w:w="4410"/>
    </w:tblGrid>
    <w:tr w:rsidR="001C1054" w14:paraId="6702D1CF" w14:textId="77777777" w:rsidTr="00E8389E">
      <w:trPr>
        <w:cantSplit/>
        <w:trHeight w:hRule="exact" w:val="57"/>
      </w:trPr>
      <w:tc>
        <w:tcPr>
          <w:tcW w:w="6663" w:type="dxa"/>
          <w:vAlign w:val="bottom"/>
        </w:tcPr>
        <w:p w14:paraId="51F2F99D" w14:textId="77777777" w:rsidR="001C1054" w:rsidRDefault="001C1054" w:rsidP="002F4A63">
          <w:pPr>
            <w:rPr>
              <w:color w:val="FF9900"/>
            </w:rPr>
          </w:pPr>
        </w:p>
      </w:tc>
      <w:tc>
        <w:tcPr>
          <w:tcW w:w="4410" w:type="dxa"/>
          <w:vMerge w:val="restart"/>
          <w:vAlign w:val="bottom"/>
        </w:tcPr>
        <w:p w14:paraId="397CB29E" w14:textId="77777777" w:rsidR="001C1054" w:rsidRDefault="001C1054" w:rsidP="002F4A63">
          <w:pPr>
            <w:jc w:val="right"/>
          </w:pPr>
        </w:p>
      </w:tc>
    </w:tr>
    <w:tr w:rsidR="001C1054" w14:paraId="317DC04B" w14:textId="77777777" w:rsidTr="00E8389E">
      <w:trPr>
        <w:cantSplit/>
        <w:trHeight w:hRule="exact" w:val="120"/>
      </w:trPr>
      <w:tc>
        <w:tcPr>
          <w:tcW w:w="6663" w:type="dxa"/>
          <w:vAlign w:val="bottom"/>
        </w:tcPr>
        <w:p w14:paraId="7F395C41" w14:textId="77777777" w:rsidR="001C1054" w:rsidRDefault="001C1054" w:rsidP="002F4A63">
          <w:pPr>
            <w:rPr>
              <w:color w:val="FF9900"/>
            </w:rPr>
          </w:pPr>
        </w:p>
      </w:tc>
      <w:tc>
        <w:tcPr>
          <w:tcW w:w="4410" w:type="dxa"/>
          <w:vMerge/>
          <w:vAlign w:val="bottom"/>
        </w:tcPr>
        <w:p w14:paraId="46DA2C53" w14:textId="77777777" w:rsidR="001C1054" w:rsidRDefault="001C1054" w:rsidP="002F4A63">
          <w:pPr>
            <w:pStyle w:val="Disclaimer"/>
            <w:rPr>
              <w:color w:val="FF9900"/>
            </w:rPr>
          </w:pPr>
        </w:p>
      </w:tc>
    </w:tr>
    <w:tr w:rsidR="001C1054" w14:paraId="2BB464BB" w14:textId="77777777" w:rsidTr="00E8389E">
      <w:trPr>
        <w:cantSplit/>
        <w:trHeight w:hRule="exact" w:val="745"/>
      </w:trPr>
      <w:tc>
        <w:tcPr>
          <w:tcW w:w="6663" w:type="dxa"/>
          <w:vAlign w:val="bottom"/>
        </w:tcPr>
        <w:p w14:paraId="12D24268" w14:textId="77777777" w:rsidR="007E1044" w:rsidRDefault="007E1044" w:rsidP="002F4A63">
          <w:pPr>
            <w:pStyle w:val="Disclaimer"/>
          </w:pPr>
          <w:r>
            <w:t>This case study is for informational purposes only.</w:t>
          </w:r>
        </w:p>
        <w:p w14:paraId="473F830A" w14:textId="77777777" w:rsidR="001C1054" w:rsidRDefault="007E1044" w:rsidP="002F4A63">
          <w:pPr>
            <w:pStyle w:val="Disclaimer"/>
          </w:pPr>
          <w:r>
            <w:t>MICROSOFT MAKES NO WARRANTIES, EXPRESS OR IMPLIED, IN THIS SUMMARY.</w:t>
          </w:r>
        </w:p>
        <w:p w14:paraId="0D0D66BB" w14:textId="77777777" w:rsidR="001C1054" w:rsidRDefault="001C1054" w:rsidP="002F4A63">
          <w:pPr>
            <w:pStyle w:val="Disclaimer"/>
          </w:pPr>
        </w:p>
        <w:p w14:paraId="69693A2E" w14:textId="77777777" w:rsidR="001C1054" w:rsidRPr="008A704E" w:rsidRDefault="001C1054" w:rsidP="002F4A63">
          <w:pPr>
            <w:pStyle w:val="Disclaimer"/>
          </w:pPr>
          <w:r w:rsidRPr="00A10B69">
            <w:t xml:space="preserve">Document published </w:t>
          </w:r>
          <w:r w:rsidR="007E1044">
            <w:t>September 2014</w:t>
          </w:r>
        </w:p>
      </w:tc>
      <w:tc>
        <w:tcPr>
          <w:tcW w:w="4410" w:type="dxa"/>
          <w:vMerge/>
          <w:vAlign w:val="bottom"/>
        </w:tcPr>
        <w:p w14:paraId="2B876F06" w14:textId="77777777" w:rsidR="001C1054" w:rsidRPr="008A704E" w:rsidRDefault="001C1054" w:rsidP="002F4A63">
          <w:pPr>
            <w:pStyle w:val="Disclaimer"/>
            <w:spacing w:line="240" w:lineRule="auto"/>
          </w:pPr>
        </w:p>
      </w:tc>
    </w:tr>
  </w:tbl>
  <w:p w14:paraId="5FDDDD01" w14:textId="77777777" w:rsidR="001C1054" w:rsidRDefault="001C1054" w:rsidP="006B527C">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D18195" w14:textId="77777777" w:rsidR="00A432BA" w:rsidRDefault="00A432BA">
      <w:r>
        <w:separator/>
      </w:r>
    </w:p>
  </w:footnote>
  <w:footnote w:type="continuationSeparator" w:id="0">
    <w:p w14:paraId="7DEFCE72" w14:textId="77777777" w:rsidR="00A432BA" w:rsidRDefault="00A432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0B10A" w14:textId="10A8172B" w:rsidR="001C1054" w:rsidRDefault="00467812">
    <w:pPr>
      <w:pStyle w:val="Header"/>
    </w:pPr>
    <w:r>
      <w:rPr>
        <w:noProof/>
        <w:lang w:val="en-US" w:bidi="ar-SA"/>
      </w:rPr>
      <w:drawing>
        <wp:inline distT="0" distB="0" distL="0" distR="0" wp14:anchorId="6D26530A" wp14:editId="780C7316">
          <wp:extent cx="3048000" cy="361950"/>
          <wp:effectExtent l="0" t="0" r="0" b="0"/>
          <wp:docPr id="2" name="Picture 2" descr="Modern_Apps_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rn_Apps_Head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0" cy="3619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742B2" w14:textId="72364C55" w:rsidR="007E1044" w:rsidRPr="00453ABD" w:rsidRDefault="00467812">
    <w:pPr>
      <w:pStyle w:val="Header"/>
    </w:pPr>
    <w:r>
      <w:rPr>
        <w:noProof/>
        <w:lang w:val="en-US" w:bidi="ar-SA"/>
      </w:rPr>
      <w:drawing>
        <wp:anchor distT="0" distB="0" distL="114300" distR="114300" simplePos="0" relativeHeight="251657728" behindDoc="1" locked="0" layoutInCell="0" allowOverlap="1" wp14:anchorId="138545B4" wp14:editId="67D1AF13">
          <wp:simplePos x="0" y="0"/>
          <wp:positionH relativeFrom="page">
            <wp:posOffset>0</wp:posOffset>
          </wp:positionH>
          <wp:positionV relativeFrom="page">
            <wp:posOffset>0</wp:posOffset>
          </wp:positionV>
          <wp:extent cx="7772400" cy="1144905"/>
          <wp:effectExtent l="0" t="0" r="0" b="0"/>
          <wp:wrapNone/>
          <wp:docPr id="1" name="Picture 1" descr="Page2_Header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_Header_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144905"/>
                  </a:xfrm>
                  <a:prstGeom prst="rect">
                    <a:avLst/>
                  </a:prstGeom>
                  <a:noFill/>
                </pic:spPr>
              </pic:pic>
            </a:graphicData>
          </a:graphic>
          <wp14:sizeRelH relativeFrom="page">
            <wp14:pctWidth>0</wp14:pctWidth>
          </wp14:sizeRelH>
          <wp14:sizeRelV relativeFrom="page">
            <wp14:pctHeight>0</wp14:pctHeight>
          </wp14:sizeRelV>
        </wp:anchor>
      </w:drawing>
    </w:r>
  </w:p>
  <w:p w14:paraId="30D9888B" w14:textId="77777777" w:rsidR="007E1044" w:rsidRDefault="007E10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C62E8DFC"/>
    <w:lvl w:ilvl="0" w:tplc="97808CF2">
      <w:start w:val="1"/>
      <w:numFmt w:val="bullet"/>
      <w:lvlRestart w:val="0"/>
      <w:pStyle w:val="Bullet"/>
      <w:lvlText w:val=""/>
      <w:lvlJc w:val="left"/>
      <w:pPr>
        <w:tabs>
          <w:tab w:val="num" w:pos="170"/>
        </w:tabs>
        <w:ind w:left="170" w:hanging="170"/>
      </w:pPr>
      <w:rPr>
        <w:rFonts w:ascii="Wingdings" w:hAnsi="Wingdings" w:hint="default"/>
        <w:color w:val="68217A"/>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0D7A5E24"/>
    <w:lvl w:ilvl="0" w:tplc="46F230A2">
      <w:start w:val="1"/>
      <w:numFmt w:val="bullet"/>
      <w:lvlRestart w:val="0"/>
      <w:pStyle w:val="BulletGrey"/>
      <w:lvlText w:val=""/>
      <w:lvlJc w:val="left"/>
      <w:pPr>
        <w:tabs>
          <w:tab w:val="num" w:pos="170"/>
        </w:tabs>
        <w:ind w:left="170" w:hanging="170"/>
      </w:pPr>
      <w:rPr>
        <w:rFonts w:ascii="Wingdings" w:hAnsi="Wingdings" w:hint="default"/>
        <w:color w:val="666666"/>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3140D9"/>
    <w:multiLevelType w:val="hybridMultilevel"/>
    <w:tmpl w:val="BEB23ABE"/>
    <w:lvl w:ilvl="0" w:tplc="50ECCCBA">
      <w:start w:val="1"/>
      <w:numFmt w:val="bullet"/>
      <w:lvlRestart w:val="0"/>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FE4487"/>
    <w:multiLevelType w:val="singleLevel"/>
    <w:tmpl w:val="86EEE6A8"/>
    <w:lvl w:ilvl="0">
      <w:start w:val="1"/>
      <w:numFmt w:val="decimal"/>
      <w:pStyle w:val="TOC2"/>
      <w:lvlText w:val="%1."/>
      <w:lvlJc w:val="left"/>
      <w:pPr>
        <w:tabs>
          <w:tab w:val="num" w:pos="360"/>
        </w:tabs>
        <w:ind w:left="360" w:hanging="360"/>
      </w:pPr>
    </w:lvl>
  </w:abstractNum>
  <w:abstractNum w:abstractNumId="6">
    <w:nsid w:val="496D11FC"/>
    <w:multiLevelType w:val="hybridMultilevel"/>
    <w:tmpl w:val="98A46ABE"/>
    <w:lvl w:ilvl="0" w:tplc="53EA887C">
      <w:start w:val="1"/>
      <w:numFmt w:val="bullet"/>
      <w:lvlRestart w:val="0"/>
      <w:pStyle w:val="Bulletbold"/>
      <w:lvlText w:val=""/>
      <w:lvlJc w:val="left"/>
      <w:pPr>
        <w:tabs>
          <w:tab w:val="num" w:pos="170"/>
        </w:tabs>
        <w:ind w:left="170" w:hanging="170"/>
      </w:pPr>
      <w:rPr>
        <w:rFonts w:ascii="Wingdings" w:hAnsi="Wingdings" w:hint="default"/>
        <w:color w:val="68217A"/>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8">
    <w:nsid w:val="4F147D09"/>
    <w:multiLevelType w:val="hybridMultilevel"/>
    <w:tmpl w:val="E51870BA"/>
    <w:lvl w:ilvl="0" w:tplc="DC6E2824">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0">
    <w:nsid w:val="6771204E"/>
    <w:multiLevelType w:val="hybridMultilevel"/>
    <w:tmpl w:val="46C44656"/>
    <w:lvl w:ilvl="0" w:tplc="D5A263A0">
      <w:start w:val="1"/>
      <w:numFmt w:val="bullet"/>
      <w:lvlRestart w:val="0"/>
      <w:pStyle w:val="Bulletcolored"/>
      <w:lvlText w:val=""/>
      <w:lvlJc w:val="left"/>
      <w:pPr>
        <w:tabs>
          <w:tab w:val="num" w:pos="170"/>
        </w:tabs>
        <w:ind w:left="170" w:hanging="170"/>
      </w:pPr>
      <w:rPr>
        <w:rFonts w:ascii="Wingdings" w:hAnsi="Wingdings" w:hint="default"/>
        <w:color w:val="68217A"/>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689D1DA6"/>
    <w:multiLevelType w:val="multilevel"/>
    <w:tmpl w:val="39B64DC8"/>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7"/>
  </w:num>
  <w:num w:numId="3">
    <w:abstractNumId w:val="9"/>
  </w:num>
  <w:num w:numId="4">
    <w:abstractNumId w:val="5"/>
  </w:num>
  <w:num w:numId="5">
    <w:abstractNumId w:val="1"/>
  </w:num>
  <w:num w:numId="6">
    <w:abstractNumId w:val="13"/>
  </w:num>
  <w:num w:numId="7">
    <w:abstractNumId w:val="2"/>
  </w:num>
  <w:num w:numId="8">
    <w:abstractNumId w:val="4"/>
  </w:num>
  <w:num w:numId="9">
    <w:abstractNumId w:val="3"/>
  </w:num>
  <w:num w:numId="10">
    <w:abstractNumId w:val="1"/>
  </w:num>
  <w:num w:numId="11">
    <w:abstractNumId w:val="8"/>
  </w:num>
  <w:num w:numId="12">
    <w:abstractNumId w:val="9"/>
  </w:num>
  <w:num w:numId="13">
    <w:abstractNumId w:val="8"/>
  </w:num>
  <w:num w:numId="14">
    <w:abstractNumId w:val="2"/>
  </w:num>
  <w:num w:numId="15">
    <w:abstractNumId w:val="4"/>
  </w:num>
  <w:num w:numId="16">
    <w:abstractNumId w:val="3"/>
  </w:num>
  <w:num w:numId="17">
    <w:abstractNumId w:val="1"/>
  </w:num>
  <w:num w:numId="18">
    <w:abstractNumId w:val="13"/>
  </w:num>
  <w:num w:numId="19">
    <w:abstractNumId w:val="7"/>
  </w:num>
  <w:num w:numId="20">
    <w:abstractNumId w:val="5"/>
  </w:num>
  <w:num w:numId="21">
    <w:abstractNumId w:val="9"/>
  </w:num>
  <w:num w:numId="22">
    <w:abstractNumId w:val="8"/>
  </w:num>
  <w:num w:numId="23">
    <w:abstractNumId w:val="2"/>
  </w:num>
  <w:num w:numId="24">
    <w:abstractNumId w:val="4"/>
  </w:num>
  <w:num w:numId="25">
    <w:abstractNumId w:val="3"/>
  </w:num>
  <w:num w:numId="26">
    <w:abstractNumId w:val="1"/>
  </w:num>
  <w:num w:numId="27">
    <w:abstractNumId w:val="13"/>
  </w:num>
  <w:num w:numId="28">
    <w:abstractNumId w:val="7"/>
  </w:num>
  <w:num w:numId="29">
    <w:abstractNumId w:val="5"/>
  </w:num>
  <w:num w:numId="30">
    <w:abstractNumId w:val="6"/>
  </w:num>
  <w:num w:numId="31">
    <w:abstractNumId w:val="2"/>
  </w:num>
  <w:num w:numId="32">
    <w:abstractNumId w:val="3"/>
  </w:num>
  <w:num w:numId="33">
    <w:abstractNumId w:val="10"/>
  </w:num>
  <w:num w:numId="34">
    <w:abstractNumId w:val="3"/>
  </w:num>
  <w:num w:numId="35">
    <w:abstractNumId w:val="1"/>
  </w:num>
  <w:num w:numId="36">
    <w:abstractNumId w:val="6"/>
  </w:num>
  <w:num w:numId="37">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Rs92XuICMSEl4/t1mK1ALMZR6FJWARz6JXeL1CYNNBkdjA6IkIoYGmuzlx3KDVqjO/3g4SsxyBO5O6mEErxE1A==" w:salt="eXpBpxIkh/o9wL5xU+Acow=="/>
  <w:defaultTabStop w:val="720"/>
  <w:drawingGridHorizontalSpacing w:val="57"/>
  <w:drawingGridVerticalSpacing w:val="57"/>
  <w:displayHorizontalDrawingGridEvery w:val="0"/>
  <w:doNotUseMarginsForDrawingGridOrigin/>
  <w:drawingGridHorizontalOrigin w:val="0"/>
  <w:drawingGridVerticalOrigin w:val="0"/>
  <w:noPunctuationKerning/>
  <w:characterSpacingControl w:val="doNotCompress"/>
  <w:savePreviewPicture/>
  <w:hdrShapeDefaults>
    <o:shapedefaults v:ext="edit" spidmax="2049" style="mso-position-horizontal-relative:page;mso-position-vertical-relative:page" fillcolor="white" stroke="f">
      <v:fill color="white"/>
      <v:stroke on="f"/>
      <v:textbox inset="0,0,0,0"/>
      <o:colormru v:ext="edit" colors="#6c3,#afe494,silver,#ddd,#999,#ccc,#bde9a7,#a0a0a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ATED" w:val="1"/>
    <w:docVar w:name="cbCustomerSize" w:val="4,500"/>
    <w:docVar w:name="cbCustomerSize_0" w:val="1-99"/>
    <w:docVar w:name="cbCustomerSize_1" w:val="100-5,000"/>
    <w:docVar w:name="cbCustomerSize_2" w:val="5,000+"/>
    <w:docVar w:name="cbCustomerSize_3" w:val="free-type the number of employees."/>
    <w:docVar w:name="cbCustomerSize_ListCount" w:val="4"/>
    <w:docVar w:name="cbCustomerSize_ListIndex" w:val="-1"/>
    <w:docVar w:name="ComboBox1_ListCount" w:val="0"/>
    <w:docVar w:name="ComboBox1_ListIndex" w:val="-1"/>
    <w:docVar w:name="lbList_ListCount" w:val="0"/>
    <w:docVar w:name="lbList_ListIndex" w:val="-1"/>
    <w:docVar w:name="lbProduct_0_0" w:val="Transform the datacenter"/>
    <w:docVar w:name="lbProduct_0_1" w:val="Transform the datacenter"/>
    <w:docVar w:name="lbProduct_0_2" w:val="0"/>
    <w:docVar w:name="lbProduct_0_3" w:val="114"/>
    <w:docVar w:name="lbProduct_0_4" w:val="198"/>
    <w:docVar w:name="lbProduct_0_5" w:val="The hybrid cloud from Microsoft transforms the datacenter by extending existing investments in skills and technology with public cloud services and a common set of management tools. With an on-premises infrastructure connected to the Microsoft Azure platform, you can deliver services faster and scale up or down quickly to meet changing needs. _x000d__x000d_For more information about transforming the datacenter, go to:_x000d_www.microsoft.com/en-us/server-cloud/modern-data-center "/>
    <w:docVar w:name="lbProduct_0_SELECTED" w:val="0"/>
    <w:docVar w:name="lbProduct_1_0" w:val="Unlock insights on any data"/>
    <w:docVar w:name="lbProduct_1_1" w:val="Unlock insights on any data"/>
    <w:docVar w:name="lbProduct_1_2" w:val="220"/>
    <w:docVar w:name="lbProduct_1_3" w:val="60"/>
    <w:docVar w:name="lbProduct_1_4" w:val="0"/>
    <w:docVar w:name="lbProduct_1_5" w:val="Microsoft business intelligence (BI) solutions simplify access to virtually any type of data, whether it resides in the business or the cloud. Powered by Microsoft SQL Server, and built into familiar programs such as Microsoft Excel, BI tools speed insight into data from multiple sources, including business applications, blogs, and sensors._x000d__x000d_For more information about unlocking insights on any data, go to:_x000d_www.microsoft.com/en-us/server-cloud/data-insights"/>
    <w:docVar w:name="lbProduct_1_SELECTED" w:val="0"/>
    <w:docVar w:name="lbProduct_2_0" w:val="Empower enterprise mobility"/>
    <w:docVar w:name="lbProduct_2_1" w:val="Empower enterprise mobility"/>
    <w:docVar w:name="lbProduct_2_2" w:val="0"/>
    <w:docVar w:name="lbProduct_2_3" w:val="130"/>
    <w:docVar w:name="lbProduct_2_4" w:val="114"/>
    <w:docVar w:name="lbProduct_2_5" w:val="Empower employees to work virtually anywhere on the PCs and devices they prefer, while providing IT with a single tool for easy, consistent, and more secure management. Solutions such as Microsoft System Center and Windows Intune simplify user and device management, reduce costs, and improve productivity while taking advantage of existing IT infrastructure._x000d__x000d_For more information about empowering people-centric IT, go to:_x000d_www.microsoft.com/en-us/server-cloud/pcit"/>
    <w:docVar w:name="lbProduct_2_SELECTED" w:val="0"/>
    <w:docVar w:name="lbProduct_3_0" w:val="Enable application innovation"/>
    <w:docVar w:name="lbProduct_3_1" w:val="Enable application innovation"/>
    <w:docVar w:name="lbProduct_3_2" w:val="104"/>
    <w:docVar w:name="lbProduct_3_3" w:val="33"/>
    <w:docVar w:name="lbProduct_3_4" w:val="122"/>
    <w:docVar w:name="lbProduct_3_5" w:val="Enable modern business applications that meet the most demanding requirements. Microsoft development tools help you design, test, and deploy applications quickly, as well as connect applications, data, and services to any device. Your applications can run in your datacenter, a hosted site, or a public cloud, or they can span multiple locations._x000d__x000d_For more information about enabling modern business applications, go to:_x000d_www.microsoft.com/en-us/server-cloud/modern-business-apps"/>
    <w:docVar w:name="lbProduct_3_SELECTED" w:val="-1"/>
    <w:docVar w:name="lbProduct_4_0" w:val="Cloud OS"/>
    <w:docVar w:name="lbProduct_4_1" w:val="Microsoft Cloud OS"/>
    <w:docVar w:name="lbProduct_4_2" w:val="0"/>
    <w:docVar w:name="lbProduct_4_3" w:val="114"/>
    <w:docVar w:name="lbProduct_4_4" w:val="198"/>
    <w:docVar w:name="lbProduct_4_5" w:val="Microsoft Cloud OS helps businesses benefit from converging technology trends such as big data, cloud services, and 'bring your own device' initiatives. From rapidly building and deploying applications to supporting real-time analytics across all forms of data, IT can drive efficiency and deliver new value with Cloud OS._x000d__x000d_For more information about Microsoft Cloud OS, go to:_x000d_www.microsoft.com/cloud-os"/>
    <w:docVar w:name="lbProduct_4_SELECTED" w:val="0"/>
    <w:docVar w:name="lbProduct_5_0" w:val="Microsoft Azure"/>
    <w:docVar w:name="lbProduct_5_1" w:val="Microsoft Azure"/>
    <w:docVar w:name="lbProduct_5_2" w:val="0"/>
    <w:docVar w:name="lbProduct_5_3" w:val="114"/>
    <w:docVar w:name="lbProduct_5_4" w:val="198"/>
    <w:docVar w:name="lbProduct_5_5" w:val="Microsoft Azure is an open and flexible cloud platform that enables you to quickly build, deploy and manage applications across a global network of Microsoft-managed datacenters. You can build applications using any language, tool or framework. And you can integrate your public cloud applications with your existing IT environment._x000d__x000d_For more information on Microsoft Azure, go to:_x000d_azure.microsoft.com"/>
    <w:docVar w:name="lbProduct_5_SELECTED" w:val="0"/>
    <w:docVar w:name="lbProduct_6_0" w:val="Windows Server"/>
    <w:docVar w:name="lbProduct_6_1" w:val="Windows Server"/>
    <w:docVar w:name="lbProduct_6_2" w:val="0"/>
    <w:docVar w:name="lbProduct_6_3" w:val="24"/>
    <w:docVar w:name="lbProduct_6_4" w:val="143"/>
    <w:docVar w:name="lbProduct_6_5" w:val="Windows Server drives many of the world's largest datacenters, empowers small businesses around the world, and delivers value to organizations of all sizes in between. Building on this legacy, Windows Server redefines the category, delivering hundreds of new features and enhancements that span virtualization, networking, storage, user experience, cloud computing, automation, and more. Simply put, Windows Server helps you transform your IT operations to reduce costs and deliver a whole new level of business value._x000d__x000d_For more information on Windows Server, go to: _x000d_www.microsoft.com/windowsserver"/>
    <w:docVar w:name="lbProduct_6_SELECTED" w:val="0"/>
    <w:docVar w:name="lbProduct_7_0" w:val="Windows Intune"/>
    <w:docVar w:name="lbProduct_7_1" w:val="Windows Intune"/>
    <w:docVar w:name="lbProduct_7_2" w:val="0"/>
    <w:docVar w:name="lbProduct_7_3" w:val="130"/>
    <w:docVar w:name="lbProduct_7_4" w:val="114"/>
    <w:docVar w:name="lbProduct_7_5" w:val="Windows Intune combines both cloud and on-premises capabilities to fit your PC and mobile device management needs. Windows Intune provides unified infrastructure, device management, security and empowers employees by enabling their preferred applications and mobile devices.  _x000d__x000d_For more information on Windows Intune, go to:_x000d_www.windowsintune.com"/>
    <w:docVar w:name="lbProduct_7_SELECTED" w:val="0"/>
    <w:docVar w:name="lbProduct_8_0" w:val="SQL Server"/>
    <w:docVar w:name="lbProduct_8_1" w:val="Microsoft SQL Server"/>
    <w:docVar w:name="lbProduct_8_2" w:val="186"/>
    <w:docVar w:name="lbProduct_8_3" w:val="20"/>
    <w:docVar w:name="lbProduct_8_4" w:val="26"/>
    <w:docVar w:name="lbProduct_8_5" w:val="Microsoft SQL Server is a cloud-ready information platform that will help organizations unlock breakthrough insights across the organizations and quickly build solutions to extend data across on-premises and public cloud._x000d__x000d_For more information on Microsoft SQL Server, go to:_x000d_www.microsoft.com/sqlserver"/>
    <w:docVar w:name="lbProduct_8_SELECTED" w:val="0"/>
    <w:docVar w:name="lbProduct_9_0" w:val="System Center"/>
    <w:docVar w:name="lbProduct_9_1" w:val="Microsoft System Center"/>
    <w:docVar w:name="lbProduct_9_2" w:val="0"/>
    <w:docVar w:name="lbProduct_9_3" w:val="32"/>
    <w:docVar w:name="lbProduct_9_4" w:val="80"/>
    <w:docVar w:name="lbProduct_9_5" w:val="Microsoft System Center is an integrated management platform that helps you to easily and efficiently manage your datacenters, client devices, and hybrid cloud IT environments. System Center is the only platform to offer comprehensive management of applications, services, physical resources, hypervisors, software defined networks, configuration, and automation in a single offering._x000d__x000d_For more information about Microsoft System Center, go to: _x000d_www.microsoft.com/systemcenter"/>
    <w:docVar w:name="lbProduct_9_SELECTED" w:val="0"/>
    <w:docVar w:name="lbProduct_ListCount" w:val="10"/>
    <w:docVar w:name="lbProduct_ListIndex" w:val="3"/>
    <w:docVar w:name="lbTaxi1_ListCount" w:val="0"/>
    <w:docVar w:name="lbTaxi1_ListIndex" w:val="-1"/>
    <w:docVar w:name="lbTaxi2_ListCount" w:val="0"/>
    <w:docVar w:name="lbTaxi2_ListIndex" w:val="-1"/>
    <w:docVar w:name="lbTaxi3_ListCount" w:val="0"/>
    <w:docVar w:name="lbTaxi3_ListIndex" w:val="-1"/>
    <w:docVar w:name="lbTaxi4_ListCount" w:val="0"/>
    <w:docVar w:name="lbTaxi4_ListIndex" w:val="-1"/>
    <w:docVar w:name="RERUN" w:val="1"/>
    <w:docVar w:name="tbCustomerName" w:val="Temenos"/>
    <w:docVar w:name="tbCustomerURL" w:val="www.temenos.com"/>
    <w:docVar w:name="tbDatePublished" w:val="September 2014"/>
    <w:docVar w:name="tbDisclaimer" w:val="This case study is for informational purposes only._x000d__x000a_MICROSOFT MAKES NO WARRANTIES, EXPRESS OR IMPLIED, IN THIS SUMMARY."/>
    <w:docVar w:name="tbDisclaimer2" w:val="Example: Active Directory, Windows, the Windows logo, Windows Server, and Windows Server System"/>
    <w:docVar w:name="tbDisclaimer3" w:val="are either registered trademarks or trademarks of Microsoft Corporation in the United States and/or other countries. The names of actual companies and products mentioned herein may be the trademarks of their respective owners."/>
    <w:docVar w:name="tbDocumentBenefits" w:val="Temenos. "/>
    <w:docVar w:name="tbDocumentBusinessNeeds" w:val="Temenos had business needs."/>
    <w:docVar w:name="tbDocumentFirstPara" w:val="Temenos, a global ISV"/>
    <w:docVar w:name="tbDocumentIntroduction" w:val="&quot;Temenos will "/>
    <w:docVar w:name="tbDocumentIntroductionCredit" w:val="John Schlesinger, Temenos"/>
    <w:docVar w:name="tbDocumentSolution" w:val="Temenos deployed the solution."/>
    <w:docVar w:name="tbDocumentTitle" w:val="Software developer"/>
    <w:docVar w:name="tbOverviewCountry" w:val="Switzerland"/>
    <w:docVar w:name="tbOverviewCustomerProfile" w:val="Temenos"/>
    <w:docVar w:name="tbOverviewIndustry" w:val="Financial Services"/>
  </w:docVars>
  <w:rsids>
    <w:rsidRoot w:val="007E1044"/>
    <w:rsid w:val="00001E4F"/>
    <w:rsid w:val="00013642"/>
    <w:rsid w:val="000141D2"/>
    <w:rsid w:val="00015995"/>
    <w:rsid w:val="00017AF1"/>
    <w:rsid w:val="00020601"/>
    <w:rsid w:val="00022339"/>
    <w:rsid w:val="0002375F"/>
    <w:rsid w:val="00024706"/>
    <w:rsid w:val="00030DDF"/>
    <w:rsid w:val="00031364"/>
    <w:rsid w:val="0003689D"/>
    <w:rsid w:val="0003695B"/>
    <w:rsid w:val="00040BFC"/>
    <w:rsid w:val="00045A39"/>
    <w:rsid w:val="00046527"/>
    <w:rsid w:val="000538C0"/>
    <w:rsid w:val="000550BA"/>
    <w:rsid w:val="00055AEF"/>
    <w:rsid w:val="00070A43"/>
    <w:rsid w:val="00070C53"/>
    <w:rsid w:val="0007107C"/>
    <w:rsid w:val="000713E7"/>
    <w:rsid w:val="00077399"/>
    <w:rsid w:val="0008164C"/>
    <w:rsid w:val="0009113E"/>
    <w:rsid w:val="00096E59"/>
    <w:rsid w:val="00097362"/>
    <w:rsid w:val="000A0CDD"/>
    <w:rsid w:val="000A170D"/>
    <w:rsid w:val="000A2A76"/>
    <w:rsid w:val="000B3415"/>
    <w:rsid w:val="000B764A"/>
    <w:rsid w:val="000B7F24"/>
    <w:rsid w:val="000C024E"/>
    <w:rsid w:val="000C32D5"/>
    <w:rsid w:val="000C381B"/>
    <w:rsid w:val="000C3EEB"/>
    <w:rsid w:val="000C71C1"/>
    <w:rsid w:val="000D2755"/>
    <w:rsid w:val="000E35B4"/>
    <w:rsid w:val="000E51DD"/>
    <w:rsid w:val="000F16FE"/>
    <w:rsid w:val="000F2E29"/>
    <w:rsid w:val="000F4C5B"/>
    <w:rsid w:val="000F5879"/>
    <w:rsid w:val="00100854"/>
    <w:rsid w:val="00113B22"/>
    <w:rsid w:val="001167B7"/>
    <w:rsid w:val="00126117"/>
    <w:rsid w:val="0013001D"/>
    <w:rsid w:val="00134F39"/>
    <w:rsid w:val="00135AC9"/>
    <w:rsid w:val="00136AF2"/>
    <w:rsid w:val="00136BD3"/>
    <w:rsid w:val="001374EC"/>
    <w:rsid w:val="00137687"/>
    <w:rsid w:val="00137D60"/>
    <w:rsid w:val="00142046"/>
    <w:rsid w:val="001501D5"/>
    <w:rsid w:val="00152657"/>
    <w:rsid w:val="001542C0"/>
    <w:rsid w:val="00160739"/>
    <w:rsid w:val="00161F79"/>
    <w:rsid w:val="00163672"/>
    <w:rsid w:val="00164F03"/>
    <w:rsid w:val="001712F1"/>
    <w:rsid w:val="00172940"/>
    <w:rsid w:val="0017294A"/>
    <w:rsid w:val="00173D52"/>
    <w:rsid w:val="0018348D"/>
    <w:rsid w:val="001868BC"/>
    <w:rsid w:val="00194E88"/>
    <w:rsid w:val="00195A63"/>
    <w:rsid w:val="001972D1"/>
    <w:rsid w:val="00197A6D"/>
    <w:rsid w:val="001B3260"/>
    <w:rsid w:val="001B425C"/>
    <w:rsid w:val="001B4BFA"/>
    <w:rsid w:val="001C1054"/>
    <w:rsid w:val="001C61A0"/>
    <w:rsid w:val="001C7FC9"/>
    <w:rsid w:val="001D04AD"/>
    <w:rsid w:val="001D0A90"/>
    <w:rsid w:val="001D10C0"/>
    <w:rsid w:val="001E06AD"/>
    <w:rsid w:val="001E138A"/>
    <w:rsid w:val="001E4547"/>
    <w:rsid w:val="001F5C5D"/>
    <w:rsid w:val="00206078"/>
    <w:rsid w:val="00207346"/>
    <w:rsid w:val="002115AD"/>
    <w:rsid w:val="0022078C"/>
    <w:rsid w:val="00227ED0"/>
    <w:rsid w:val="002333A9"/>
    <w:rsid w:val="002347C3"/>
    <w:rsid w:val="00234D5E"/>
    <w:rsid w:val="0023576B"/>
    <w:rsid w:val="00236FFC"/>
    <w:rsid w:val="00247BC1"/>
    <w:rsid w:val="00250C8E"/>
    <w:rsid w:val="002536A4"/>
    <w:rsid w:val="002569D3"/>
    <w:rsid w:val="002676B1"/>
    <w:rsid w:val="00271555"/>
    <w:rsid w:val="002729C9"/>
    <w:rsid w:val="0027342F"/>
    <w:rsid w:val="00276CB7"/>
    <w:rsid w:val="0027787F"/>
    <w:rsid w:val="00277D3E"/>
    <w:rsid w:val="0028076E"/>
    <w:rsid w:val="00280910"/>
    <w:rsid w:val="0029603B"/>
    <w:rsid w:val="002A2896"/>
    <w:rsid w:val="002A7C9E"/>
    <w:rsid w:val="002B6406"/>
    <w:rsid w:val="002C2C24"/>
    <w:rsid w:val="002C3F83"/>
    <w:rsid w:val="002C498E"/>
    <w:rsid w:val="002D68C2"/>
    <w:rsid w:val="002E0835"/>
    <w:rsid w:val="002E1DB3"/>
    <w:rsid w:val="002E3234"/>
    <w:rsid w:val="002F0F0D"/>
    <w:rsid w:val="002F1D55"/>
    <w:rsid w:val="002F2235"/>
    <w:rsid w:val="002F4A63"/>
    <w:rsid w:val="002F564A"/>
    <w:rsid w:val="002F7C83"/>
    <w:rsid w:val="00300756"/>
    <w:rsid w:val="003069F8"/>
    <w:rsid w:val="00310D56"/>
    <w:rsid w:val="00314641"/>
    <w:rsid w:val="00314780"/>
    <w:rsid w:val="00320448"/>
    <w:rsid w:val="00325D29"/>
    <w:rsid w:val="00327BAD"/>
    <w:rsid w:val="003358CE"/>
    <w:rsid w:val="00343D4B"/>
    <w:rsid w:val="003446CB"/>
    <w:rsid w:val="0035001B"/>
    <w:rsid w:val="003504A1"/>
    <w:rsid w:val="0035106E"/>
    <w:rsid w:val="0035404C"/>
    <w:rsid w:val="00356838"/>
    <w:rsid w:val="00366A19"/>
    <w:rsid w:val="00366D92"/>
    <w:rsid w:val="00370CD7"/>
    <w:rsid w:val="00373F78"/>
    <w:rsid w:val="00376362"/>
    <w:rsid w:val="00385DBE"/>
    <w:rsid w:val="0038734C"/>
    <w:rsid w:val="0038752C"/>
    <w:rsid w:val="00387E23"/>
    <w:rsid w:val="00387EBE"/>
    <w:rsid w:val="00390193"/>
    <w:rsid w:val="0039471F"/>
    <w:rsid w:val="003950E9"/>
    <w:rsid w:val="00395A58"/>
    <w:rsid w:val="003A73A8"/>
    <w:rsid w:val="003B0BD5"/>
    <w:rsid w:val="003B4AA7"/>
    <w:rsid w:val="003D11B2"/>
    <w:rsid w:val="003D2D61"/>
    <w:rsid w:val="003D5E91"/>
    <w:rsid w:val="003D5ECB"/>
    <w:rsid w:val="003D7224"/>
    <w:rsid w:val="003E3941"/>
    <w:rsid w:val="003E75E4"/>
    <w:rsid w:val="003E7D82"/>
    <w:rsid w:val="003F1750"/>
    <w:rsid w:val="003F414A"/>
    <w:rsid w:val="003F4EE0"/>
    <w:rsid w:val="003F554E"/>
    <w:rsid w:val="00403BE5"/>
    <w:rsid w:val="00410367"/>
    <w:rsid w:val="00410B75"/>
    <w:rsid w:val="004110C0"/>
    <w:rsid w:val="00412E71"/>
    <w:rsid w:val="00416B2F"/>
    <w:rsid w:val="00417AE2"/>
    <w:rsid w:val="00417E92"/>
    <w:rsid w:val="00421EC8"/>
    <w:rsid w:val="0042207C"/>
    <w:rsid w:val="0042235A"/>
    <w:rsid w:val="0042746F"/>
    <w:rsid w:val="00430E1D"/>
    <w:rsid w:val="00431A58"/>
    <w:rsid w:val="004320F6"/>
    <w:rsid w:val="004348DB"/>
    <w:rsid w:val="004371F2"/>
    <w:rsid w:val="004537BC"/>
    <w:rsid w:val="00453ABD"/>
    <w:rsid w:val="00456C5F"/>
    <w:rsid w:val="00464757"/>
    <w:rsid w:val="00467188"/>
    <w:rsid w:val="00467812"/>
    <w:rsid w:val="0047043E"/>
    <w:rsid w:val="004708DD"/>
    <w:rsid w:val="0047203F"/>
    <w:rsid w:val="004771F6"/>
    <w:rsid w:val="004806E4"/>
    <w:rsid w:val="004879FE"/>
    <w:rsid w:val="004948E3"/>
    <w:rsid w:val="004A139B"/>
    <w:rsid w:val="004A1E64"/>
    <w:rsid w:val="004A23AF"/>
    <w:rsid w:val="004A5522"/>
    <w:rsid w:val="004B4BDD"/>
    <w:rsid w:val="004C02E1"/>
    <w:rsid w:val="004C0F74"/>
    <w:rsid w:val="004C3997"/>
    <w:rsid w:val="004C4F54"/>
    <w:rsid w:val="004D0A95"/>
    <w:rsid w:val="004D37EB"/>
    <w:rsid w:val="004E1B65"/>
    <w:rsid w:val="004E6091"/>
    <w:rsid w:val="004E6117"/>
    <w:rsid w:val="004F05D4"/>
    <w:rsid w:val="004F277E"/>
    <w:rsid w:val="004F4746"/>
    <w:rsid w:val="00501257"/>
    <w:rsid w:val="005024D1"/>
    <w:rsid w:val="00506DCC"/>
    <w:rsid w:val="0051133E"/>
    <w:rsid w:val="00513A2B"/>
    <w:rsid w:val="00513AF3"/>
    <w:rsid w:val="00531BCA"/>
    <w:rsid w:val="00541A62"/>
    <w:rsid w:val="0054284F"/>
    <w:rsid w:val="00542C32"/>
    <w:rsid w:val="005434D9"/>
    <w:rsid w:val="00544D54"/>
    <w:rsid w:val="0055134C"/>
    <w:rsid w:val="00554AEF"/>
    <w:rsid w:val="00555BC4"/>
    <w:rsid w:val="00556E5A"/>
    <w:rsid w:val="0056051A"/>
    <w:rsid w:val="005635DE"/>
    <w:rsid w:val="005639D3"/>
    <w:rsid w:val="00565B3A"/>
    <w:rsid w:val="00572F16"/>
    <w:rsid w:val="0058159D"/>
    <w:rsid w:val="00581846"/>
    <w:rsid w:val="00583F51"/>
    <w:rsid w:val="00590962"/>
    <w:rsid w:val="00591D27"/>
    <w:rsid w:val="005939D6"/>
    <w:rsid w:val="0059588D"/>
    <w:rsid w:val="00596028"/>
    <w:rsid w:val="005A4C4A"/>
    <w:rsid w:val="005B1760"/>
    <w:rsid w:val="005B6C11"/>
    <w:rsid w:val="005C20A8"/>
    <w:rsid w:val="005C336D"/>
    <w:rsid w:val="005D4281"/>
    <w:rsid w:val="005D6269"/>
    <w:rsid w:val="005F32B6"/>
    <w:rsid w:val="005F5064"/>
    <w:rsid w:val="00600D3D"/>
    <w:rsid w:val="00601843"/>
    <w:rsid w:val="006033A5"/>
    <w:rsid w:val="0061235C"/>
    <w:rsid w:val="006130C0"/>
    <w:rsid w:val="0062084B"/>
    <w:rsid w:val="00623A0F"/>
    <w:rsid w:val="00640D77"/>
    <w:rsid w:val="006479AC"/>
    <w:rsid w:val="0065114C"/>
    <w:rsid w:val="00656A7A"/>
    <w:rsid w:val="006577E4"/>
    <w:rsid w:val="00657930"/>
    <w:rsid w:val="00662893"/>
    <w:rsid w:val="0067120F"/>
    <w:rsid w:val="006817E8"/>
    <w:rsid w:val="00684110"/>
    <w:rsid w:val="00697103"/>
    <w:rsid w:val="006A2EF0"/>
    <w:rsid w:val="006A4285"/>
    <w:rsid w:val="006A5A72"/>
    <w:rsid w:val="006A705F"/>
    <w:rsid w:val="006A7253"/>
    <w:rsid w:val="006A7EB7"/>
    <w:rsid w:val="006B18EC"/>
    <w:rsid w:val="006B1F91"/>
    <w:rsid w:val="006B4716"/>
    <w:rsid w:val="006B527C"/>
    <w:rsid w:val="006D450A"/>
    <w:rsid w:val="006E1FF6"/>
    <w:rsid w:val="006E344B"/>
    <w:rsid w:val="006E408D"/>
    <w:rsid w:val="006E48C2"/>
    <w:rsid w:val="006E6EFB"/>
    <w:rsid w:val="006F74AC"/>
    <w:rsid w:val="00700D4B"/>
    <w:rsid w:val="00713E88"/>
    <w:rsid w:val="007154C9"/>
    <w:rsid w:val="00716859"/>
    <w:rsid w:val="007203F8"/>
    <w:rsid w:val="00720F84"/>
    <w:rsid w:val="00723F1D"/>
    <w:rsid w:val="00726897"/>
    <w:rsid w:val="007332D9"/>
    <w:rsid w:val="00733E35"/>
    <w:rsid w:val="00734F87"/>
    <w:rsid w:val="00736E70"/>
    <w:rsid w:val="007428A1"/>
    <w:rsid w:val="0074615B"/>
    <w:rsid w:val="00752703"/>
    <w:rsid w:val="00753480"/>
    <w:rsid w:val="007610EF"/>
    <w:rsid w:val="0076167D"/>
    <w:rsid w:val="00766D3C"/>
    <w:rsid w:val="00770839"/>
    <w:rsid w:val="00773D8F"/>
    <w:rsid w:val="00780041"/>
    <w:rsid w:val="00781614"/>
    <w:rsid w:val="00783F2C"/>
    <w:rsid w:val="0078546F"/>
    <w:rsid w:val="007870EF"/>
    <w:rsid w:val="0078790B"/>
    <w:rsid w:val="0079349C"/>
    <w:rsid w:val="007A77D8"/>
    <w:rsid w:val="007B008F"/>
    <w:rsid w:val="007B0CD7"/>
    <w:rsid w:val="007B198F"/>
    <w:rsid w:val="007D082A"/>
    <w:rsid w:val="007D1DCF"/>
    <w:rsid w:val="007D6D49"/>
    <w:rsid w:val="007E1044"/>
    <w:rsid w:val="007E2038"/>
    <w:rsid w:val="007E7417"/>
    <w:rsid w:val="007F5170"/>
    <w:rsid w:val="007F5380"/>
    <w:rsid w:val="008046E3"/>
    <w:rsid w:val="00804B2B"/>
    <w:rsid w:val="00804E01"/>
    <w:rsid w:val="00810BC3"/>
    <w:rsid w:val="0081557C"/>
    <w:rsid w:val="008258C1"/>
    <w:rsid w:val="00827923"/>
    <w:rsid w:val="00827C13"/>
    <w:rsid w:val="0083178D"/>
    <w:rsid w:val="008353F9"/>
    <w:rsid w:val="0084111C"/>
    <w:rsid w:val="008417AC"/>
    <w:rsid w:val="00842BBB"/>
    <w:rsid w:val="00843BEC"/>
    <w:rsid w:val="00846EE4"/>
    <w:rsid w:val="008534F9"/>
    <w:rsid w:val="0085591F"/>
    <w:rsid w:val="00866E6F"/>
    <w:rsid w:val="00867BBA"/>
    <w:rsid w:val="00877434"/>
    <w:rsid w:val="0088276A"/>
    <w:rsid w:val="008840C7"/>
    <w:rsid w:val="008840D6"/>
    <w:rsid w:val="00884AB8"/>
    <w:rsid w:val="00886544"/>
    <w:rsid w:val="00891964"/>
    <w:rsid w:val="00897647"/>
    <w:rsid w:val="008A081E"/>
    <w:rsid w:val="008B70E7"/>
    <w:rsid w:val="008C0428"/>
    <w:rsid w:val="008C2647"/>
    <w:rsid w:val="008C43AE"/>
    <w:rsid w:val="008C655C"/>
    <w:rsid w:val="008D0E9F"/>
    <w:rsid w:val="008D204D"/>
    <w:rsid w:val="008D4442"/>
    <w:rsid w:val="008D7327"/>
    <w:rsid w:val="008F0DFC"/>
    <w:rsid w:val="008F4959"/>
    <w:rsid w:val="008F608C"/>
    <w:rsid w:val="008F6839"/>
    <w:rsid w:val="008F70C5"/>
    <w:rsid w:val="00900BA0"/>
    <w:rsid w:val="00901825"/>
    <w:rsid w:val="00906DDE"/>
    <w:rsid w:val="009113AE"/>
    <w:rsid w:val="009122D5"/>
    <w:rsid w:val="00913C2A"/>
    <w:rsid w:val="0092214E"/>
    <w:rsid w:val="00937979"/>
    <w:rsid w:val="00937FC7"/>
    <w:rsid w:val="00943510"/>
    <w:rsid w:val="00944CDF"/>
    <w:rsid w:val="009572DC"/>
    <w:rsid w:val="0095750A"/>
    <w:rsid w:val="00960727"/>
    <w:rsid w:val="00961B99"/>
    <w:rsid w:val="00964ABE"/>
    <w:rsid w:val="00964D30"/>
    <w:rsid w:val="00966F94"/>
    <w:rsid w:val="00973460"/>
    <w:rsid w:val="00973BDF"/>
    <w:rsid w:val="00980F35"/>
    <w:rsid w:val="009A016A"/>
    <w:rsid w:val="009A37A8"/>
    <w:rsid w:val="009A3F69"/>
    <w:rsid w:val="009A596E"/>
    <w:rsid w:val="009A5A57"/>
    <w:rsid w:val="009B17D9"/>
    <w:rsid w:val="009B31E4"/>
    <w:rsid w:val="009C4155"/>
    <w:rsid w:val="009D014E"/>
    <w:rsid w:val="009D5860"/>
    <w:rsid w:val="009D5AD5"/>
    <w:rsid w:val="009E7F3E"/>
    <w:rsid w:val="009F4255"/>
    <w:rsid w:val="00A016BF"/>
    <w:rsid w:val="00A0337F"/>
    <w:rsid w:val="00A03958"/>
    <w:rsid w:val="00A03AB3"/>
    <w:rsid w:val="00A0472A"/>
    <w:rsid w:val="00A05278"/>
    <w:rsid w:val="00A12971"/>
    <w:rsid w:val="00A12A5D"/>
    <w:rsid w:val="00A12B41"/>
    <w:rsid w:val="00A16CBF"/>
    <w:rsid w:val="00A1780E"/>
    <w:rsid w:val="00A2124F"/>
    <w:rsid w:val="00A31E75"/>
    <w:rsid w:val="00A4148A"/>
    <w:rsid w:val="00A432BA"/>
    <w:rsid w:val="00A52B0E"/>
    <w:rsid w:val="00A557C1"/>
    <w:rsid w:val="00A7616B"/>
    <w:rsid w:val="00A845AF"/>
    <w:rsid w:val="00A85F86"/>
    <w:rsid w:val="00A907EE"/>
    <w:rsid w:val="00A92391"/>
    <w:rsid w:val="00A924B4"/>
    <w:rsid w:val="00A94CBC"/>
    <w:rsid w:val="00A967B8"/>
    <w:rsid w:val="00AA22FF"/>
    <w:rsid w:val="00AA397E"/>
    <w:rsid w:val="00AB0077"/>
    <w:rsid w:val="00AB3721"/>
    <w:rsid w:val="00AB4AA0"/>
    <w:rsid w:val="00AC7A90"/>
    <w:rsid w:val="00AD11AA"/>
    <w:rsid w:val="00AD6944"/>
    <w:rsid w:val="00AE0F93"/>
    <w:rsid w:val="00AF1B00"/>
    <w:rsid w:val="00AF2395"/>
    <w:rsid w:val="00AF2CFD"/>
    <w:rsid w:val="00AF32E0"/>
    <w:rsid w:val="00B000D7"/>
    <w:rsid w:val="00B04221"/>
    <w:rsid w:val="00B12FA7"/>
    <w:rsid w:val="00B17618"/>
    <w:rsid w:val="00B2076B"/>
    <w:rsid w:val="00B24135"/>
    <w:rsid w:val="00B25164"/>
    <w:rsid w:val="00B2715B"/>
    <w:rsid w:val="00B27786"/>
    <w:rsid w:val="00B307B8"/>
    <w:rsid w:val="00B33ABC"/>
    <w:rsid w:val="00B37F21"/>
    <w:rsid w:val="00B43A76"/>
    <w:rsid w:val="00B55328"/>
    <w:rsid w:val="00B55E19"/>
    <w:rsid w:val="00B56D1D"/>
    <w:rsid w:val="00B60D40"/>
    <w:rsid w:val="00B63238"/>
    <w:rsid w:val="00B72CB0"/>
    <w:rsid w:val="00B833E7"/>
    <w:rsid w:val="00B8467E"/>
    <w:rsid w:val="00B85A4D"/>
    <w:rsid w:val="00B874EA"/>
    <w:rsid w:val="00B90CED"/>
    <w:rsid w:val="00B9129C"/>
    <w:rsid w:val="00BA0C8E"/>
    <w:rsid w:val="00BA646F"/>
    <w:rsid w:val="00BB25ED"/>
    <w:rsid w:val="00BB2B3D"/>
    <w:rsid w:val="00BB3182"/>
    <w:rsid w:val="00BC6694"/>
    <w:rsid w:val="00BD1D39"/>
    <w:rsid w:val="00BD3976"/>
    <w:rsid w:val="00BE0165"/>
    <w:rsid w:val="00BE234B"/>
    <w:rsid w:val="00BE567E"/>
    <w:rsid w:val="00BE651B"/>
    <w:rsid w:val="00BE6D62"/>
    <w:rsid w:val="00BF38E8"/>
    <w:rsid w:val="00C0425A"/>
    <w:rsid w:val="00C111FF"/>
    <w:rsid w:val="00C15E2E"/>
    <w:rsid w:val="00C16965"/>
    <w:rsid w:val="00C23D56"/>
    <w:rsid w:val="00C24533"/>
    <w:rsid w:val="00C32C84"/>
    <w:rsid w:val="00C41097"/>
    <w:rsid w:val="00C42221"/>
    <w:rsid w:val="00C44431"/>
    <w:rsid w:val="00C44E63"/>
    <w:rsid w:val="00C47DE3"/>
    <w:rsid w:val="00C51F7C"/>
    <w:rsid w:val="00C55370"/>
    <w:rsid w:val="00C5634E"/>
    <w:rsid w:val="00C60600"/>
    <w:rsid w:val="00C60AB6"/>
    <w:rsid w:val="00C7662F"/>
    <w:rsid w:val="00C76ADC"/>
    <w:rsid w:val="00C76FD1"/>
    <w:rsid w:val="00C804C0"/>
    <w:rsid w:val="00C854EB"/>
    <w:rsid w:val="00C87475"/>
    <w:rsid w:val="00C87496"/>
    <w:rsid w:val="00C933B3"/>
    <w:rsid w:val="00CA2243"/>
    <w:rsid w:val="00CB52BD"/>
    <w:rsid w:val="00CC32FA"/>
    <w:rsid w:val="00CC377B"/>
    <w:rsid w:val="00CC632B"/>
    <w:rsid w:val="00CC7882"/>
    <w:rsid w:val="00CD77AC"/>
    <w:rsid w:val="00CE0914"/>
    <w:rsid w:val="00CE24C8"/>
    <w:rsid w:val="00CE3826"/>
    <w:rsid w:val="00D01D12"/>
    <w:rsid w:val="00D01FA4"/>
    <w:rsid w:val="00D06E9E"/>
    <w:rsid w:val="00D07222"/>
    <w:rsid w:val="00D11868"/>
    <w:rsid w:val="00D127A8"/>
    <w:rsid w:val="00D13DA8"/>
    <w:rsid w:val="00D14C24"/>
    <w:rsid w:val="00D16000"/>
    <w:rsid w:val="00D17463"/>
    <w:rsid w:val="00D23303"/>
    <w:rsid w:val="00D235A3"/>
    <w:rsid w:val="00D26777"/>
    <w:rsid w:val="00D4118A"/>
    <w:rsid w:val="00D45554"/>
    <w:rsid w:val="00D554AC"/>
    <w:rsid w:val="00D6547F"/>
    <w:rsid w:val="00D75406"/>
    <w:rsid w:val="00D778CC"/>
    <w:rsid w:val="00D84E58"/>
    <w:rsid w:val="00D8656C"/>
    <w:rsid w:val="00D90C86"/>
    <w:rsid w:val="00D91C0F"/>
    <w:rsid w:val="00D94464"/>
    <w:rsid w:val="00DA4D84"/>
    <w:rsid w:val="00DB3C9F"/>
    <w:rsid w:val="00DB5163"/>
    <w:rsid w:val="00DB5CF8"/>
    <w:rsid w:val="00DC1457"/>
    <w:rsid w:val="00DC47C2"/>
    <w:rsid w:val="00DD69AC"/>
    <w:rsid w:val="00DE3C9C"/>
    <w:rsid w:val="00DE42C5"/>
    <w:rsid w:val="00DF1EEA"/>
    <w:rsid w:val="00DF5BA8"/>
    <w:rsid w:val="00DF6CA2"/>
    <w:rsid w:val="00DF775B"/>
    <w:rsid w:val="00E04C75"/>
    <w:rsid w:val="00E05362"/>
    <w:rsid w:val="00E063C8"/>
    <w:rsid w:val="00E14349"/>
    <w:rsid w:val="00E21C8B"/>
    <w:rsid w:val="00E22ED8"/>
    <w:rsid w:val="00E24BF6"/>
    <w:rsid w:val="00E27CA1"/>
    <w:rsid w:val="00E301CF"/>
    <w:rsid w:val="00E379FF"/>
    <w:rsid w:val="00E40D66"/>
    <w:rsid w:val="00E410A1"/>
    <w:rsid w:val="00E41633"/>
    <w:rsid w:val="00E44D2D"/>
    <w:rsid w:val="00E458CB"/>
    <w:rsid w:val="00E478FE"/>
    <w:rsid w:val="00E47A82"/>
    <w:rsid w:val="00E74DB8"/>
    <w:rsid w:val="00E751E3"/>
    <w:rsid w:val="00E81555"/>
    <w:rsid w:val="00E8389E"/>
    <w:rsid w:val="00E84772"/>
    <w:rsid w:val="00E86EBD"/>
    <w:rsid w:val="00E90AB9"/>
    <w:rsid w:val="00E90F80"/>
    <w:rsid w:val="00E9323D"/>
    <w:rsid w:val="00E934D2"/>
    <w:rsid w:val="00E95178"/>
    <w:rsid w:val="00E97693"/>
    <w:rsid w:val="00E97780"/>
    <w:rsid w:val="00EA2092"/>
    <w:rsid w:val="00EB0FD4"/>
    <w:rsid w:val="00EB2483"/>
    <w:rsid w:val="00EC2CFC"/>
    <w:rsid w:val="00EC3A89"/>
    <w:rsid w:val="00EC5E9B"/>
    <w:rsid w:val="00EC6965"/>
    <w:rsid w:val="00ED075A"/>
    <w:rsid w:val="00ED13EA"/>
    <w:rsid w:val="00ED3FFF"/>
    <w:rsid w:val="00ED51A2"/>
    <w:rsid w:val="00EE6C18"/>
    <w:rsid w:val="00EF4454"/>
    <w:rsid w:val="00EF6346"/>
    <w:rsid w:val="00F01DA5"/>
    <w:rsid w:val="00F06AB5"/>
    <w:rsid w:val="00F1037C"/>
    <w:rsid w:val="00F15C3B"/>
    <w:rsid w:val="00F166FE"/>
    <w:rsid w:val="00F16EE3"/>
    <w:rsid w:val="00F22F7A"/>
    <w:rsid w:val="00F307BC"/>
    <w:rsid w:val="00F352FE"/>
    <w:rsid w:val="00F35751"/>
    <w:rsid w:val="00F362B3"/>
    <w:rsid w:val="00F36B2C"/>
    <w:rsid w:val="00F5713C"/>
    <w:rsid w:val="00F604B2"/>
    <w:rsid w:val="00F663EB"/>
    <w:rsid w:val="00F71257"/>
    <w:rsid w:val="00F714C9"/>
    <w:rsid w:val="00F744D9"/>
    <w:rsid w:val="00F85242"/>
    <w:rsid w:val="00F954DB"/>
    <w:rsid w:val="00FA0494"/>
    <w:rsid w:val="00FA463D"/>
    <w:rsid w:val="00FB47BC"/>
    <w:rsid w:val="00FC5CF6"/>
    <w:rsid w:val="00FD28B7"/>
    <w:rsid w:val="00FE3759"/>
    <w:rsid w:val="00FE3DBF"/>
    <w:rsid w:val="0A534423"/>
    <w:rsid w:val="13DD68AD"/>
    <w:rsid w:val="1A94C431"/>
    <w:rsid w:val="1D23ADFF"/>
    <w:rsid w:val="2B1F26FB"/>
    <w:rsid w:val="468253B2"/>
    <w:rsid w:val="7DD38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inset="0,0,0,0"/>
      <o:colormru v:ext="edit" colors="#6c3,#afe494,silver,#ddd,#999,#ccc,#bde9a7,#a0a0a0"/>
    </o:shapedefaults>
    <o:shapelayout v:ext="edit">
      <o:idmap v:ext="edit" data="1"/>
    </o:shapelayout>
  </w:shapeDefaults>
  <w:decimalSymbol w:val="."/>
  <w:listSeparator w:val=","/>
  <w14:docId w14:val="142295EB"/>
  <w15:docId w15:val="{8D582944-263F-4F56-835A-AA5D267A0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numPr>
        <w:ilvl w:val="1"/>
        <w:numId w:val="37"/>
      </w:numPr>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913C2A"/>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link w:val="PlainTextChar"/>
    <w:uiPriority w:val="99"/>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D26777"/>
    <w:pPr>
      <w:spacing w:before="240"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7E1044"/>
    <w:pPr>
      <w:numPr>
        <w:numId w:val="31"/>
      </w:numPr>
    </w:pPr>
    <w:rPr>
      <w:color w:val="323232"/>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431A58"/>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ColoredText"/>
    <w:rsid w:val="007E1044"/>
    <w:pPr>
      <w:numPr>
        <w:numId w:val="33"/>
      </w:numPr>
    </w:pPr>
    <w:rPr>
      <w:szCs w:val="17"/>
    </w:rPr>
  </w:style>
  <w:style w:type="paragraph" w:customStyle="1" w:styleId="ColoredText">
    <w:name w:val="Colored Text"/>
    <w:basedOn w:val="Bodycopy"/>
    <w:rsid w:val="00B85A4D"/>
    <w:rPr>
      <w:color w:val="68217A"/>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Bullet"/>
    <w:rsid w:val="007E1044"/>
    <w:pPr>
      <w:numPr>
        <w:numId w:val="30"/>
      </w:numPr>
    </w:pPr>
  </w:style>
  <w:style w:type="paragraph" w:customStyle="1" w:styleId="Contents">
    <w:name w:val="Contents"/>
    <w:basedOn w:val="Bodycopy"/>
    <w:rsid w:val="00227ED0"/>
    <w:pPr>
      <w:spacing w:line="480" w:lineRule="exact"/>
    </w:pPr>
    <w:rPr>
      <w:color w:val="FFFFFF"/>
      <w:sz w:val="30"/>
    </w:rPr>
  </w:style>
  <w:style w:type="character" w:styleId="PageNumber">
    <w:name w:val="page number"/>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Bullet"/>
    <w:rsid w:val="007E1044"/>
    <w:pPr>
      <w:numPr>
        <w:numId w:val="32"/>
      </w:numPr>
    </w:p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913C2A"/>
    <w:pPr>
      <w:numPr>
        <w:numId w:val="26"/>
      </w:numPr>
    </w:pPr>
  </w:style>
  <w:style w:type="table" w:styleId="TableGrid">
    <w:name w:val="Table Grid"/>
    <w:basedOn w:val="TableNormal"/>
    <w:rsid w:val="00F1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27ED0"/>
    <w:rPr>
      <w:sz w:val="16"/>
      <w:szCs w:val="16"/>
    </w:rPr>
  </w:style>
  <w:style w:type="character" w:styleId="FollowedHyperlink">
    <w:name w:val="FollowedHyperlink"/>
    <w:rsid w:val="00227ED0"/>
    <w:rPr>
      <w:rFonts w:ascii="Segoe UI" w:hAnsi="Segoe UI" w:cs="Segoe UI"/>
      <w:color w:val="800080"/>
      <w:u w:val="single"/>
    </w:rPr>
  </w:style>
  <w:style w:type="character" w:customStyle="1" w:styleId="URL">
    <w:name w:val="URL"/>
    <w:rsid w:val="00227ED0"/>
    <w:rPr>
      <w:rFonts w:ascii="Segoe UI" w:hAnsi="Segoe UI" w:cs="Segoe UI"/>
      <w:color w:val="209FC8"/>
    </w:rPr>
  </w:style>
  <w:style w:type="character" w:customStyle="1" w:styleId="PlainTextChar">
    <w:name w:val="Plain Text Char"/>
    <w:link w:val="PlainText"/>
    <w:uiPriority w:val="99"/>
    <w:rsid w:val="00194E88"/>
    <w:rPr>
      <w:rFonts w:ascii="Segoe UI" w:hAnsi="Segoe UI" w:cs="Segoe UI"/>
      <w:sz w:val="22"/>
      <w:szCs w:val="24"/>
      <w:lang w:val="en-GB"/>
    </w:rPr>
  </w:style>
  <w:style w:type="character" w:styleId="CommentReference">
    <w:name w:val="annotation reference"/>
    <w:semiHidden/>
    <w:unhideWhenUsed/>
    <w:rPr>
      <w:sz w:val="16"/>
      <w:szCs w:val="16"/>
    </w:rPr>
  </w:style>
  <w:style w:type="paragraph" w:styleId="CommentSubject">
    <w:name w:val="annotation subject"/>
    <w:basedOn w:val="CommentText"/>
    <w:next w:val="CommentText"/>
    <w:link w:val="CommentSubjectChar"/>
    <w:semiHidden/>
    <w:unhideWhenUsed/>
    <w:rsid w:val="001C7FC9"/>
    <w:rPr>
      <w:b/>
      <w:bCs/>
      <w:sz w:val="20"/>
      <w:szCs w:val="20"/>
    </w:rPr>
  </w:style>
  <w:style w:type="character" w:customStyle="1" w:styleId="CommentTextChar">
    <w:name w:val="Comment Text Char"/>
    <w:link w:val="CommentText"/>
    <w:semiHidden/>
    <w:rsid w:val="001C7FC9"/>
    <w:rPr>
      <w:rFonts w:ascii="Segoe UI" w:hAnsi="Segoe UI" w:cs="Segoe UI"/>
      <w:sz w:val="24"/>
      <w:szCs w:val="24"/>
      <w:lang w:val="en-GB"/>
    </w:rPr>
  </w:style>
  <w:style w:type="character" w:customStyle="1" w:styleId="CommentSubjectChar">
    <w:name w:val="Comment Subject Char"/>
    <w:link w:val="CommentSubject"/>
    <w:semiHidden/>
    <w:rsid w:val="001C7FC9"/>
    <w:rPr>
      <w:rFonts w:ascii="Segoe UI" w:hAnsi="Segoe UI" w:cs="Segoe UI"/>
      <w:b/>
      <w:bC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057346">
      <w:bodyDiv w:val="1"/>
      <w:marLeft w:val="0"/>
      <w:marRight w:val="0"/>
      <w:marTop w:val="0"/>
      <w:marBottom w:val="0"/>
      <w:divBdr>
        <w:top w:val="none" w:sz="0" w:space="0" w:color="auto"/>
        <w:left w:val="none" w:sz="0" w:space="0" w:color="auto"/>
        <w:bottom w:val="none" w:sz="0" w:space="0" w:color="auto"/>
        <w:right w:val="none" w:sz="0" w:space="0" w:color="auto"/>
      </w:divBdr>
      <w:divsChild>
        <w:div w:id="677777388">
          <w:marLeft w:val="0"/>
          <w:marRight w:val="0"/>
          <w:marTop w:val="0"/>
          <w:marBottom w:val="0"/>
          <w:divBdr>
            <w:top w:val="none" w:sz="0" w:space="0" w:color="auto"/>
            <w:left w:val="none" w:sz="0" w:space="0" w:color="auto"/>
            <w:bottom w:val="none" w:sz="0" w:space="0" w:color="auto"/>
            <w:right w:val="none" w:sz="0" w:space="0" w:color="auto"/>
          </w:divBdr>
        </w:div>
        <w:div w:id="1279874988">
          <w:marLeft w:val="0"/>
          <w:marRight w:val="0"/>
          <w:marTop w:val="0"/>
          <w:marBottom w:val="0"/>
          <w:divBdr>
            <w:top w:val="none" w:sz="0" w:space="0" w:color="auto"/>
            <w:left w:val="none" w:sz="0" w:space="0" w:color="auto"/>
            <w:bottom w:val="none" w:sz="0" w:space="0" w:color="auto"/>
            <w:right w:val="none" w:sz="0" w:space="0" w:color="auto"/>
          </w:divBdr>
        </w:div>
        <w:div w:id="2008825269">
          <w:marLeft w:val="0"/>
          <w:marRight w:val="0"/>
          <w:marTop w:val="0"/>
          <w:marBottom w:val="0"/>
          <w:divBdr>
            <w:top w:val="none" w:sz="0" w:space="0" w:color="auto"/>
            <w:left w:val="none" w:sz="0" w:space="0" w:color="auto"/>
            <w:bottom w:val="none" w:sz="0" w:space="0" w:color="auto"/>
            <w:right w:val="none" w:sz="0" w:space="0" w:color="auto"/>
          </w:divBdr>
        </w:div>
        <w:div w:id="16361327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temenos.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microsoft.com/casestudie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icrosoft.com/casestudies"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temenos.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l\AppData\Roaming\Microsoft\Templates\Cloud%20OS%202p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56B5969AA1BC49BB3A960EF97BEDD6" ma:contentTypeVersion="9" ma:contentTypeDescription="Create a new document." ma:contentTypeScope="" ma:versionID="bb87a6a81829f858ad895440b91f2761">
  <xsd:schema xmlns:xsd="http://www.w3.org/2001/XMLSchema" xmlns:xs="http://www.w3.org/2001/XMLSchema" xmlns:p="http://schemas.microsoft.com/office/2006/metadata/properties" xmlns:ns1="http://schemas.microsoft.com/sharepoint/v3" xmlns:ns2="74a38b85-65de-41c6-8591-8959fc75330f" xmlns:ns3="7232daf2-f1a8-49b0-8b66-f47c7c5807d1" targetNamespace="http://schemas.microsoft.com/office/2006/metadata/properties" ma:root="true" ma:fieldsID="19b6d44d9f60ceccbd8dd9243c07b629" ns1:_="" ns2:_="" ns3:_="">
    <xsd:import namespace="http://schemas.microsoft.com/sharepoint/v3"/>
    <xsd:import namespace="74a38b85-65de-41c6-8591-8959fc75330f"/>
    <xsd:import namespace="7232daf2-f1a8-49b0-8b66-f47c7c5807d1"/>
    <xsd:element name="properties">
      <xsd:complexType>
        <xsd:sequence>
          <xsd:element name="documentManagement">
            <xsd:complexType>
              <xsd:all>
                <xsd:element ref="ns1:PublishingStartDate" minOccurs="0"/>
                <xsd:element ref="ns1:PublishingExpirationDate" minOccurs="0"/>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a38b85-65de-41c6-8591-8959fc7533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internalName="SharingHintHash" ma:readOnly="true">
      <xsd:simpleType>
        <xsd:restriction base="dms:Text"/>
      </xsd:simple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232daf2-f1a8-49b0-8b66-f47c7c5807d1"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Tags" ma:index="17"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4a38b85-65de-41c6-8591-8959fc75330f">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75AC75-2177-4CA2-99F5-BE7D145CB1FC}"/>
</file>

<file path=customXml/itemProps2.xml><?xml version="1.0" encoding="utf-8"?>
<ds:datastoreItem xmlns:ds="http://schemas.openxmlformats.org/officeDocument/2006/customXml" ds:itemID="{54134C0E-621F-481C-817A-773A58122469}"/>
</file>

<file path=customXml/itemProps3.xml><?xml version="1.0" encoding="utf-8"?>
<ds:datastoreItem xmlns:ds="http://schemas.openxmlformats.org/officeDocument/2006/customXml" ds:itemID="{7D95685B-8E8D-4A0B-95E9-671B55103BCA}"/>
</file>

<file path=docProps/app.xml><?xml version="1.0" encoding="utf-8"?>
<Properties xmlns="http://schemas.openxmlformats.org/officeDocument/2006/extended-properties" xmlns:vt="http://schemas.openxmlformats.org/officeDocument/2006/docPropsVTypes">
  <Template>Cloud OS 2pg.dot</Template>
  <TotalTime>0</TotalTime>
  <Pages>2</Pages>
  <Words>1064</Words>
  <Characters>6069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Temenos Case Study</vt:lpstr>
    </vt:vector>
  </TitlesOfParts>
  <Company>WriteImage</Company>
  <LinksUpToDate>false</LinksUpToDate>
  <CharactersWithSpaces>7119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Temenos Case Study</dc:title>
  <dc:subject/>
  <dc:creator>Tyler Garris (Atos IT Solutions and Services)</dc:creator>
  <cp:keywords/>
  <cp:lastModifiedBy>Tyler Garris (Atos IT Solutions and Services)</cp:lastModifiedBy>
  <cp:revision>2</cp:revision>
  <cp:lastPrinted>2003-08-29T15:29:00Z</cp:lastPrinted>
  <dcterms:created xsi:type="dcterms:W3CDTF">2015-02-17T19:56:00Z</dcterms:created>
  <dcterms:modified xsi:type="dcterms:W3CDTF">2015-02-17T19:56:00Z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0x010100CF56B5969AA1BC49BB3A960EF97BEDD6</vt:lpwstr>
  </property>
  <property fmtid="{D5CDD505-2E9C-101B-9397-08002B2CF9AE}" pid="3" name="Countries">
    <vt:lpwstr/>
  </property>
  <property fmtid="{D5CDD505-2E9C-101B-9397-08002B2CF9AE}" pid="4" name="Language">
    <vt:lpwstr/>
  </property>
  <property fmtid="{D5CDD505-2E9C-101B-9397-08002B2CF9AE}" pid="5" name="CustomerStoryType">
    <vt:lpwstr/>
  </property>
  <property fmtid="{D5CDD505-2E9C-101B-9397-08002B2CF9AE}" pid="6" name="Downloadable">
    <vt:lpwstr>4;#TRUE|f7994e66-6021-4c89-b40e-adc297db3960</vt:lpwstr>
  </property>
  <property fmtid="{D5CDD505-2E9C-101B-9397-08002B2CF9AE}" pid="7" name="Status">
    <vt:lpwstr>29;#Published|5bf3c543-c277-4a92-89a1-96bbaa66c746</vt:lpwstr>
  </property>
  <property fmtid="{D5CDD505-2E9C-101B-9397-08002B2CF9AE}" pid="8" name="BusinessNeeds">
    <vt:lpwstr/>
  </property>
  <property fmtid="{D5CDD505-2E9C-101B-9397-08002B2CF9AE}" pid="9" name="MSTechnologies">
    <vt:lpwstr/>
  </property>
  <property fmtid="{D5CDD505-2E9C-101B-9397-08002B2CF9AE}" pid="10" name="IsRendered">
    <vt:lpwstr>3;#TRUE|9f7c49f0-c783-4128-aba0-0582695ee82a</vt:lpwstr>
  </property>
  <property fmtid="{D5CDD505-2E9C-101B-9397-08002B2CF9AE}" pid="11" name="Verticals">
    <vt:lpwstr/>
  </property>
  <property fmtid="{D5CDD505-2E9C-101B-9397-08002B2CF9AE}" pid="12" name="Products">
    <vt:lpwstr/>
  </property>
  <property fmtid="{D5CDD505-2E9C-101B-9397-08002B2CF9AE}" pid="13" name="InternalOnly">
    <vt:lpwstr>5;#FALSE|e6fd32c6-65c7-424b-968d-170fd2a9ae7d</vt:lpwstr>
  </property>
  <property fmtid="{D5CDD505-2E9C-101B-9397-08002B2CF9AE}" pid="14" name="OrgSize">
    <vt:lpwstr/>
  </property>
  <property fmtid="{D5CDD505-2E9C-101B-9397-08002B2CF9AE}" pid="15" name="AssetType">
    <vt:lpwstr>65;#Case Study|4056916b-e2a2-44e0-9e4b-def89b659d43</vt:lpwstr>
  </property>
  <property fmtid="{D5CDD505-2E9C-101B-9397-08002B2CF9AE}" pid="16" name="ITIssues">
    <vt:lpwstr/>
  </property>
</Properties>
</file>